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F8C67F" w14:textId="77777777" w:rsidR="00DF2F7D" w:rsidRDefault="00DF2F7D" w:rsidP="00DF2F7D">
      <w:pPr>
        <w:rPr>
          <w:rFonts w:ascii="Bookman Old Style" w:hAnsi="Bookman Old Style" w:cs="Arial"/>
          <w:sz w:val="20"/>
          <w:szCs w:val="20"/>
        </w:rPr>
      </w:pPr>
      <w:r>
        <w:rPr>
          <w:rFonts w:ascii="Bookman Old Style" w:hAnsi="Bookman Old Style" w:cs="Arial"/>
          <w:sz w:val="20"/>
          <w:szCs w:val="20"/>
        </w:rPr>
        <w:t xml:space="preserve">Dubrovnik, </w:t>
      </w:r>
    </w:p>
    <w:p w14:paraId="15E3D97F" w14:textId="77777777" w:rsidR="00DF2F7D" w:rsidRDefault="00DF2F7D" w:rsidP="00DF2F7D">
      <w:pPr>
        <w:rPr>
          <w:rFonts w:ascii="Bookman Old Style" w:hAnsi="Bookman Old Style" w:cs="Arial"/>
          <w:sz w:val="20"/>
          <w:szCs w:val="20"/>
        </w:rPr>
      </w:pPr>
      <w:r>
        <w:rPr>
          <w:rFonts w:ascii="Bookman Old Style" w:hAnsi="Bookman Old Style" w:cs="Arial"/>
          <w:sz w:val="20"/>
          <w:szCs w:val="20"/>
        </w:rPr>
        <w:t xml:space="preserve">KLASA: </w:t>
      </w:r>
    </w:p>
    <w:p w14:paraId="611B8B11" w14:textId="77777777" w:rsidR="00DF2F7D" w:rsidRDefault="00DF2F7D" w:rsidP="00DF2F7D">
      <w:pPr>
        <w:rPr>
          <w:rFonts w:ascii="Bookman Old Style" w:hAnsi="Bookman Old Style" w:cs="Arial"/>
          <w:sz w:val="20"/>
          <w:szCs w:val="20"/>
        </w:rPr>
      </w:pPr>
      <w:r>
        <w:rPr>
          <w:rFonts w:ascii="Bookman Old Style" w:hAnsi="Bookman Old Style" w:cs="Arial"/>
          <w:sz w:val="20"/>
          <w:szCs w:val="20"/>
        </w:rPr>
        <w:t xml:space="preserve">URBROJ: </w:t>
      </w:r>
    </w:p>
    <w:p w14:paraId="78B2F246" w14:textId="77777777" w:rsidR="00C112F2" w:rsidRPr="00381EC7" w:rsidRDefault="00C112F2" w:rsidP="00C112F2">
      <w:pPr>
        <w:pStyle w:val="StandardWeb"/>
        <w:spacing w:before="0" w:beforeAutospacing="0" w:after="0" w:afterAutospacing="0"/>
        <w:jc w:val="both"/>
        <w:rPr>
          <w:rFonts w:ascii="Bookman Old Style" w:hAnsi="Bookman Old Style" w:cs="Arial"/>
          <w:sz w:val="20"/>
        </w:rPr>
      </w:pPr>
    </w:p>
    <w:p w14:paraId="0405653D" w14:textId="77777777" w:rsidR="00E66DF9" w:rsidRPr="00E66DF9" w:rsidRDefault="00E66DF9" w:rsidP="00E66DF9">
      <w:pPr>
        <w:pStyle w:val="StandardWeb"/>
        <w:spacing w:before="0" w:beforeAutospacing="0" w:after="0" w:afterAutospacing="0"/>
        <w:ind w:left="720"/>
        <w:jc w:val="center"/>
        <w:rPr>
          <w:rFonts w:ascii="Bookman Old Style" w:hAnsi="Bookman Old Style" w:cs="Arial"/>
          <w:b/>
          <w:sz w:val="22"/>
        </w:rPr>
      </w:pPr>
      <w:r w:rsidRPr="00E66DF9">
        <w:rPr>
          <w:rFonts w:ascii="Bookman Old Style" w:hAnsi="Bookman Old Style" w:cs="Arial"/>
          <w:b/>
          <w:sz w:val="22"/>
        </w:rPr>
        <w:t>OBRAZLOŽENJE IZVRŠENJA FINANCIJSKOG PLANA</w:t>
      </w:r>
    </w:p>
    <w:p w14:paraId="5E0987BC" w14:textId="77777777" w:rsidR="00E66DF9" w:rsidRPr="00E66DF9" w:rsidRDefault="00E66DF9" w:rsidP="00E66DF9">
      <w:pPr>
        <w:pStyle w:val="StandardWeb"/>
        <w:spacing w:before="0" w:beforeAutospacing="0" w:after="0" w:afterAutospacing="0"/>
        <w:ind w:left="720"/>
        <w:jc w:val="center"/>
        <w:rPr>
          <w:rFonts w:ascii="Bookman Old Style" w:hAnsi="Bookman Old Style" w:cs="Arial"/>
          <w:b/>
          <w:sz w:val="22"/>
        </w:rPr>
      </w:pPr>
      <w:r w:rsidRPr="00E66DF9">
        <w:rPr>
          <w:rFonts w:ascii="Bookman Old Style" w:hAnsi="Bookman Old Style" w:cs="Arial"/>
          <w:b/>
          <w:sz w:val="22"/>
        </w:rPr>
        <w:t>ZAVODA ZA JAVNO ZDRAVSTVO DUBROVAČKO-NERETVANSKE ŽUPANIJE</w:t>
      </w:r>
    </w:p>
    <w:p w14:paraId="2EA92871" w14:textId="72983DFB" w:rsidR="00C112F2" w:rsidRPr="00E66DF9" w:rsidRDefault="00C5060A" w:rsidP="00E66DF9">
      <w:pPr>
        <w:pStyle w:val="StandardWeb"/>
        <w:spacing w:before="0" w:beforeAutospacing="0" w:after="0" w:afterAutospacing="0"/>
        <w:ind w:left="720"/>
        <w:jc w:val="center"/>
        <w:rPr>
          <w:rFonts w:ascii="Bookman Old Style" w:hAnsi="Bookman Old Style" w:cs="Arial"/>
          <w:b/>
          <w:sz w:val="22"/>
        </w:rPr>
      </w:pPr>
      <w:r>
        <w:rPr>
          <w:rFonts w:ascii="Bookman Old Style" w:hAnsi="Bookman Old Style" w:cs="Arial"/>
          <w:b/>
          <w:sz w:val="22"/>
        </w:rPr>
        <w:t>ZA RAZDOBLJE 01.01.-30.06</w:t>
      </w:r>
      <w:bookmarkStart w:id="0" w:name="_GoBack"/>
      <w:bookmarkEnd w:id="0"/>
      <w:r w:rsidR="00E66DF9" w:rsidRPr="00E66DF9">
        <w:rPr>
          <w:rFonts w:ascii="Bookman Old Style" w:hAnsi="Bookman Old Style" w:cs="Arial"/>
          <w:b/>
          <w:sz w:val="22"/>
        </w:rPr>
        <w:t>.202</w:t>
      </w:r>
      <w:r w:rsidR="00D46A62">
        <w:rPr>
          <w:rFonts w:ascii="Bookman Old Style" w:hAnsi="Bookman Old Style" w:cs="Arial"/>
          <w:b/>
          <w:sz w:val="22"/>
        </w:rPr>
        <w:t>6</w:t>
      </w:r>
      <w:r w:rsidR="00E66DF9" w:rsidRPr="00E66DF9">
        <w:rPr>
          <w:rFonts w:ascii="Bookman Old Style" w:hAnsi="Bookman Old Style" w:cs="Arial"/>
          <w:b/>
          <w:sz w:val="22"/>
        </w:rPr>
        <w:t>. GODINE</w:t>
      </w:r>
    </w:p>
    <w:p w14:paraId="2A81352B" w14:textId="77777777" w:rsidR="00C112F2" w:rsidRPr="00381EC7" w:rsidRDefault="00C112F2" w:rsidP="00C112F2">
      <w:pPr>
        <w:pStyle w:val="StandardWeb"/>
        <w:jc w:val="both"/>
        <w:rPr>
          <w:rFonts w:ascii="Bookman Old Style" w:hAnsi="Bookman Old Style" w:cs="Arial"/>
          <w:sz w:val="20"/>
        </w:rPr>
      </w:pPr>
      <w:r w:rsidRPr="00381EC7">
        <w:rPr>
          <w:rFonts w:ascii="Bookman Old Style" w:hAnsi="Bookman Old Style" w:cs="Arial"/>
          <w:sz w:val="20"/>
        </w:rPr>
        <w:t>Zavod za javno zdravstvo Dubrovačko-neretvanske županije (u daljnjem tekstu: Zavod) osnovan je Odlukom Poglavarstva Dubrovačko-neretvanske županije dana 26. travnja 1995. godine, uz suglasnost Ministarstva zdravstva Republike Hrvatske od 24. studenog 1995. godine, a s radom je započeo 1. travnja 1996. godine.</w:t>
      </w:r>
    </w:p>
    <w:p w14:paraId="39E17C5A" w14:textId="77777777" w:rsidR="00C112F2" w:rsidRPr="00381EC7" w:rsidRDefault="00C112F2" w:rsidP="00C112F2">
      <w:pPr>
        <w:pStyle w:val="StandardWeb"/>
        <w:jc w:val="both"/>
        <w:rPr>
          <w:rFonts w:ascii="Bookman Old Style" w:hAnsi="Bookman Old Style" w:cs="Arial"/>
          <w:sz w:val="20"/>
        </w:rPr>
      </w:pPr>
      <w:r w:rsidRPr="00381EC7">
        <w:rPr>
          <w:rFonts w:ascii="Bookman Old Style" w:hAnsi="Bookman Old Style" w:cs="Arial"/>
          <w:sz w:val="20"/>
        </w:rPr>
        <w:t>Zavod obavlja djelatnosti iz područja epidemiologije zaraznih i kroničnih nezaraznih bolesti, javnog zdravstva, promicanja zdravlja, zdravstvene ekologije, mikrobiologije, školske i adolescentne medicine, mentalnog zdravlja te prevencije i suzbijanja ovisnosti na području Dubrovačko-neretvanske županije.</w:t>
      </w:r>
    </w:p>
    <w:p w14:paraId="1A6C5859" w14:textId="77777777" w:rsidR="00C112F2" w:rsidRPr="00381EC7" w:rsidRDefault="00C112F2" w:rsidP="00C112F2">
      <w:pPr>
        <w:pStyle w:val="StandardWeb"/>
        <w:jc w:val="both"/>
        <w:rPr>
          <w:rFonts w:ascii="Bookman Old Style" w:hAnsi="Bookman Old Style" w:cs="Arial"/>
          <w:sz w:val="20"/>
        </w:rPr>
      </w:pPr>
      <w:r w:rsidRPr="00381EC7">
        <w:rPr>
          <w:rFonts w:ascii="Bookman Old Style" w:hAnsi="Bookman Old Style" w:cs="Arial"/>
          <w:sz w:val="20"/>
        </w:rPr>
        <w:t>U okviru pojedinih djelatnosti provodi se niz stručnih i preventivnih mjera, uključujući higijensko-epidemiološku zaštitu s kontinuiranom analizom epidemiološke situacije, protuepidemijske mjere i nadzor nad provođenjem programa obveznih imunizacija. Zavod organizira distribuciju cjepiva ordinacijama primarne zdravstvene zaštite, provodi preventivne preglede djece i mladih, prati zdravstvene potrebe starijih osoba te izrađuje prijedloge zdravstvenih mjera i politika temeljenih na prikupljenim podacima.</w:t>
      </w:r>
    </w:p>
    <w:p w14:paraId="49860508" w14:textId="77777777" w:rsidR="00C112F2" w:rsidRPr="00381EC7" w:rsidRDefault="00C112F2" w:rsidP="00C112F2">
      <w:pPr>
        <w:pStyle w:val="StandardWeb"/>
        <w:jc w:val="both"/>
        <w:rPr>
          <w:rFonts w:ascii="Bookman Old Style" w:hAnsi="Bookman Old Style" w:cs="Arial"/>
          <w:sz w:val="20"/>
        </w:rPr>
      </w:pPr>
      <w:r w:rsidRPr="00381EC7">
        <w:rPr>
          <w:rFonts w:ascii="Bookman Old Style" w:hAnsi="Bookman Old Style" w:cs="Arial"/>
          <w:sz w:val="20"/>
        </w:rPr>
        <w:t>Zavod redovito prikuplja, kontrolira i analizira statistička izvješća iz područja zdravstva, uključujući i podatke o bolestima ovisnosti, na razini županije, za potrebe Hrvatskog zavoda za javno zdravstvo. U djelokrugu rada također su i mikrobiološke analize od javnog interesa za županiju, nadzor zdravstvene ispravnosti vode za piće, vode za rekreaciju, površinskih i otpadnih voda, kao i kontrola zdravstvene ispravnosti namirnica. Posebnu pažnju Zavod posvećuje provedbi preventivnih programa za rano otkrivanje i suzbijanje kroničnih masovnih bolesti (rak dojke, debelog crijeva, grlića maternice i sl.) te provedbi edukativnih aktivnosti i programa za očuvanje i unapređenje zdravlja stanovništva.</w:t>
      </w:r>
    </w:p>
    <w:p w14:paraId="357BCE50" w14:textId="77777777" w:rsidR="00C112F2" w:rsidRPr="00381EC7" w:rsidRDefault="00C112F2" w:rsidP="00C112F2">
      <w:pPr>
        <w:pStyle w:val="StandardWeb"/>
        <w:jc w:val="both"/>
        <w:rPr>
          <w:rFonts w:ascii="Bookman Old Style" w:hAnsi="Bookman Old Style" w:cs="Arial"/>
          <w:sz w:val="20"/>
        </w:rPr>
      </w:pPr>
      <w:r w:rsidRPr="00381EC7">
        <w:rPr>
          <w:rFonts w:ascii="Bookman Old Style" w:hAnsi="Bookman Old Style" w:cs="Arial"/>
          <w:sz w:val="20"/>
        </w:rPr>
        <w:t>Kao proračunski korisnik, Zavod je obveznik primjene Zakona o proračunu (Narodne novine, br. 144/21), Pravilnika o proračunskom računovodstvu i računskom planu (Narodne novine, br. 158/23), Pravilnika o proračunskim klasifikacijama (Narodne novine, br. 4/24), Pravilnika o polugodišnjem i godišnjem izvještaju o izvršenju proračuna i financijskog plana (Narodne novine, br. 82/23), kao i Pravilnika o financijskom izvještavanju u proračunskom računovodstvu (Narodne novine, br. 37/22).</w:t>
      </w:r>
    </w:p>
    <w:p w14:paraId="69A694B3" w14:textId="77777777" w:rsidR="00C112F2" w:rsidRDefault="00C112F2" w:rsidP="00C112F2">
      <w:pPr>
        <w:pStyle w:val="StandardWeb"/>
        <w:jc w:val="both"/>
        <w:rPr>
          <w:rFonts w:ascii="Bookman Old Style" w:hAnsi="Bookman Old Style" w:cs="Arial"/>
          <w:sz w:val="20"/>
        </w:rPr>
      </w:pPr>
      <w:r w:rsidRPr="00381EC7">
        <w:rPr>
          <w:rFonts w:ascii="Bookman Old Style" w:hAnsi="Bookman Old Style" w:cs="Arial"/>
          <w:sz w:val="20"/>
        </w:rPr>
        <w:t>Financiranje registriranih djelatnosti Zavoda u izvještajnom razdoblju osigurano je putem namjenskih sredstava, temeljem ugovora s Hrvatskim zavodom za zdravstveno osiguranje o provođenju primarne zdravstvene zaštite iz obveznog i dopunskog osiguranja, kao i specijalističko-dijagnostičke zdravstvene zaštite. Dodatna sredstva ostvarena su putem ugovora o sufinanciranju preventivnih programa Dubrovačko-neretvanske županije, prihodima od pružanja usluga na tržištu, prihodima od prodaje nefinancijske imovine, te ostalim prihodima sukladno propisima.</w:t>
      </w:r>
    </w:p>
    <w:p w14:paraId="36A3755D" w14:textId="77777777" w:rsidR="00E66DF9" w:rsidRDefault="00E66DF9" w:rsidP="00C112F2">
      <w:pPr>
        <w:pStyle w:val="StandardWeb"/>
        <w:jc w:val="both"/>
        <w:rPr>
          <w:rFonts w:ascii="Bookman Old Style" w:hAnsi="Bookman Old Style" w:cs="Arial"/>
          <w:sz w:val="20"/>
        </w:rPr>
      </w:pPr>
    </w:p>
    <w:p w14:paraId="37DA3E90" w14:textId="77777777" w:rsidR="00E66DF9" w:rsidRPr="00381EC7" w:rsidRDefault="00E66DF9" w:rsidP="00C112F2">
      <w:pPr>
        <w:pStyle w:val="StandardWeb"/>
        <w:jc w:val="both"/>
        <w:rPr>
          <w:rFonts w:ascii="Bookman Old Style" w:hAnsi="Bookman Old Style" w:cs="Arial"/>
          <w:sz w:val="20"/>
        </w:rPr>
      </w:pPr>
    </w:p>
    <w:p w14:paraId="4A9EE29E" w14:textId="77777777" w:rsidR="00C112F2" w:rsidRDefault="00C112F2" w:rsidP="00C112F2">
      <w:pPr>
        <w:pStyle w:val="Odlomakpopisa"/>
        <w:numPr>
          <w:ilvl w:val="0"/>
          <w:numId w:val="10"/>
        </w:numPr>
        <w:spacing w:before="0" w:after="200" w:line="276" w:lineRule="auto"/>
        <w:contextualSpacing/>
        <w:jc w:val="left"/>
        <w:rPr>
          <w:rStyle w:val="Naglaeno"/>
          <w:rFonts w:ascii="Bookman Old Style" w:hAnsi="Bookman Old Style" w:cs="Arial"/>
          <w:lang w:eastAsia="hr-HR"/>
        </w:rPr>
      </w:pPr>
      <w:r w:rsidRPr="00381EC7">
        <w:rPr>
          <w:rStyle w:val="Naglaeno"/>
          <w:rFonts w:ascii="Bookman Old Style" w:hAnsi="Bookman Old Style" w:cs="Arial"/>
          <w:lang w:eastAsia="hr-HR"/>
        </w:rPr>
        <w:lastRenderedPageBreak/>
        <w:t>OPĆI DIO</w:t>
      </w:r>
    </w:p>
    <w:p w14:paraId="4C68AC1A" w14:textId="77777777" w:rsidR="00C112F2" w:rsidRPr="00381EC7" w:rsidRDefault="00C112F2" w:rsidP="00C112F2">
      <w:pPr>
        <w:pStyle w:val="Odlomakpopisa"/>
        <w:ind w:left="1080"/>
        <w:rPr>
          <w:rStyle w:val="Naglaeno"/>
          <w:rFonts w:ascii="Bookman Old Style" w:hAnsi="Bookman Old Style" w:cs="Arial"/>
          <w:lang w:eastAsia="hr-HR"/>
        </w:rPr>
      </w:pPr>
    </w:p>
    <w:p w14:paraId="669F4014" w14:textId="77777777" w:rsidR="00C112F2" w:rsidRPr="00381EC7" w:rsidRDefault="00C112F2" w:rsidP="00C112F2">
      <w:pPr>
        <w:pStyle w:val="Odlomakpopisa"/>
        <w:numPr>
          <w:ilvl w:val="0"/>
          <w:numId w:val="11"/>
        </w:numPr>
        <w:spacing w:before="0" w:after="200" w:line="276" w:lineRule="auto"/>
        <w:contextualSpacing/>
        <w:jc w:val="left"/>
        <w:rPr>
          <w:rStyle w:val="Naglaeno"/>
          <w:rFonts w:ascii="Bookman Old Style" w:hAnsi="Bookman Old Style" w:cs="Arial"/>
          <w:lang w:eastAsia="hr-HR"/>
        </w:rPr>
      </w:pPr>
      <w:r w:rsidRPr="00381EC7">
        <w:rPr>
          <w:rStyle w:val="Naglaeno"/>
          <w:rFonts w:ascii="Bookman Old Style" w:hAnsi="Bookman Old Style" w:cs="Arial"/>
          <w:lang w:eastAsia="hr-HR"/>
        </w:rPr>
        <w:t>SAŽETAK</w:t>
      </w:r>
    </w:p>
    <w:p w14:paraId="066A28EB" w14:textId="34A9C102" w:rsidR="00C112F2" w:rsidRDefault="00947546" w:rsidP="00C112F2">
      <w:pPr>
        <w:pStyle w:val="StandardWeb"/>
        <w:jc w:val="both"/>
        <w:rPr>
          <w:b/>
          <w:bCs/>
        </w:rPr>
      </w:pPr>
      <w:r w:rsidRPr="00947546">
        <w:rPr>
          <w:noProof/>
        </w:rPr>
        <w:drawing>
          <wp:inline distT="0" distB="0" distL="0" distR="0" wp14:anchorId="04794ACD" wp14:editId="0032A065">
            <wp:extent cx="6146800" cy="14668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6800" cy="1466850"/>
                    </a:xfrm>
                    <a:prstGeom prst="rect">
                      <a:avLst/>
                    </a:prstGeom>
                    <a:noFill/>
                    <a:ln>
                      <a:noFill/>
                    </a:ln>
                  </pic:spPr>
                </pic:pic>
              </a:graphicData>
            </a:graphic>
          </wp:inline>
        </w:drawing>
      </w:r>
    </w:p>
    <w:p w14:paraId="31B07732" w14:textId="41D5F958" w:rsidR="00C112F2" w:rsidRDefault="00947546" w:rsidP="00C112F2">
      <w:pPr>
        <w:pStyle w:val="StandardWeb"/>
        <w:jc w:val="both"/>
        <w:rPr>
          <w:b/>
          <w:bCs/>
        </w:rPr>
      </w:pPr>
      <w:r w:rsidRPr="00947546">
        <w:rPr>
          <w:noProof/>
        </w:rPr>
        <w:drawing>
          <wp:inline distT="0" distB="0" distL="0" distR="0" wp14:anchorId="696E0F24" wp14:editId="2F62AA7F">
            <wp:extent cx="6146800" cy="1514475"/>
            <wp:effectExtent l="0" t="0" r="635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6800" cy="1514475"/>
                    </a:xfrm>
                    <a:prstGeom prst="rect">
                      <a:avLst/>
                    </a:prstGeom>
                    <a:noFill/>
                    <a:ln>
                      <a:noFill/>
                    </a:ln>
                  </pic:spPr>
                </pic:pic>
              </a:graphicData>
            </a:graphic>
          </wp:inline>
        </w:drawing>
      </w:r>
    </w:p>
    <w:p w14:paraId="38BCBE2D" w14:textId="77777777" w:rsidR="00947546" w:rsidRPr="00947546" w:rsidRDefault="00947546" w:rsidP="00947546">
      <w:pPr>
        <w:pStyle w:val="StandardWeb"/>
        <w:jc w:val="both"/>
        <w:rPr>
          <w:rFonts w:ascii="Bookman Old Style" w:hAnsi="Bookman Old Style" w:cs="Arial"/>
          <w:sz w:val="20"/>
        </w:rPr>
      </w:pPr>
      <w:r w:rsidRPr="00947546">
        <w:rPr>
          <w:rFonts w:ascii="Bookman Old Style" w:hAnsi="Bookman Old Style" w:cs="Arial"/>
          <w:sz w:val="20"/>
        </w:rPr>
        <w:t>U izvještajnom razdoblju od 1. siječnja do 30. lipnja 2026. godine ostvareni su ukupni prihodi u iznosu od 2.704.969,36 EUR, što predstavlja 50,46 % planiranih prihoda za 2026. godinu, odnosno povećanje od 26,32 % u odnosu na isto razdoblje 2025. godine, kada su ukupni prihodi iznosili 2.141.309,93 EUR. Najveći dio ukupnih prihoda odnosi se na prihode poslovanja, koji su ostvareni u iznosu od 2.700.801,36 EUR, odnosno 50,41 % planiranih prihoda. Prihodi od prodaje nefinancijske imovine ostvareni su u iznosu od 4.168,00 EUR, što predstavlja 138,93 % planiranog godišnjeg iznosa.</w:t>
      </w:r>
    </w:p>
    <w:p w14:paraId="3BD89439" w14:textId="77777777" w:rsidR="00947546" w:rsidRPr="00947546" w:rsidRDefault="00947546" w:rsidP="00947546">
      <w:pPr>
        <w:pStyle w:val="StandardWeb"/>
        <w:jc w:val="both"/>
        <w:rPr>
          <w:rFonts w:ascii="Bookman Old Style" w:hAnsi="Bookman Old Style" w:cs="Arial"/>
          <w:sz w:val="20"/>
        </w:rPr>
      </w:pPr>
      <w:r w:rsidRPr="00947546">
        <w:rPr>
          <w:rFonts w:ascii="Bookman Old Style" w:hAnsi="Bookman Old Style" w:cs="Arial"/>
          <w:sz w:val="20"/>
        </w:rPr>
        <w:t>Ukupni rashodi u promatranom razdoblju iznosili su 2.914.108,81 EUR, što predstavlja 50,75 % planiranih rashoda za 2026. godinu. U odnosu na isto razdoblje prethodne godine, kada su ukupni rashodi iznosili 2.591.136,86 EUR, rashodi su povećani za 12,46 %. Od ukupnih rashoda najveći dio odnosi se na rashode poslovanja, koji su ostvareni u iznosu od 2.769.120,28 EUR, odnosno 49,93 % plana. Rashodi za nabavu nefinancijske imovine ostvareni su u iznosu od 144.988,53 EUR, što predstavlja 73,97 % planiranog godišnjeg iznosa, odnosno povećanje od 208,43 % u odnosu na isto razdoblje prethodne godine, kada su iznosili 47.009,20 EUR.</w:t>
      </w:r>
    </w:p>
    <w:p w14:paraId="7EBB1A4E" w14:textId="77777777" w:rsidR="00947546" w:rsidRPr="00947546" w:rsidRDefault="00947546" w:rsidP="00947546">
      <w:pPr>
        <w:pStyle w:val="StandardWeb"/>
        <w:jc w:val="both"/>
        <w:rPr>
          <w:rFonts w:ascii="Bookman Old Style" w:hAnsi="Bookman Old Style" w:cs="Arial"/>
          <w:sz w:val="20"/>
        </w:rPr>
      </w:pPr>
      <w:r w:rsidRPr="00947546">
        <w:rPr>
          <w:rFonts w:ascii="Bookman Old Style" w:hAnsi="Bookman Old Style" w:cs="Arial"/>
          <w:sz w:val="20"/>
        </w:rPr>
        <w:t>Na temelju ostvarenih prihoda i izvršenih rashoda u razdoblju od 1. siječnja do 30. lipnja 2026. godine evidentiran je manjak prihoda nad rashodima u iznosu od 209.139,45 EUR, što je znatno manje od planiranog manjka u iznosu od 381.183,15 EUR te predstavlja 54,87 % planiranog godišnjeg manjka.</w:t>
      </w:r>
    </w:p>
    <w:p w14:paraId="6AED2D1A" w14:textId="77777777" w:rsidR="00947546" w:rsidRPr="00947546" w:rsidRDefault="00947546" w:rsidP="00947546">
      <w:pPr>
        <w:pStyle w:val="StandardWeb"/>
        <w:jc w:val="both"/>
        <w:rPr>
          <w:rFonts w:ascii="Bookman Old Style" w:hAnsi="Bookman Old Style" w:cs="Arial"/>
          <w:sz w:val="20"/>
        </w:rPr>
      </w:pPr>
      <w:r w:rsidRPr="00947546">
        <w:rPr>
          <w:rFonts w:ascii="Bookman Old Style" w:hAnsi="Bookman Old Style" w:cs="Arial"/>
          <w:sz w:val="20"/>
        </w:rPr>
        <w:t>U Računu financiranja tijekom izvještajnog razdoblja ostvareni su primici od financijske imovine i zaduživanja u iznosu od 65.130,00 EUR, odnosno 100,00 % planiranog iznosa, dok su izdaci za financijsku imovinu i otplate zajmova izvršeni u iznosu od 16.282,50 EUR, odnosno 50,00 % planiranog iznosa. Ostvarena je pozitivna razlika primitaka i izdataka u iznosu od 48.847,50 EUR.</w:t>
      </w:r>
    </w:p>
    <w:p w14:paraId="27E82792" w14:textId="77777777" w:rsidR="00947546" w:rsidRPr="00947546" w:rsidRDefault="00947546" w:rsidP="00947546">
      <w:pPr>
        <w:pStyle w:val="StandardWeb"/>
        <w:jc w:val="both"/>
        <w:rPr>
          <w:rFonts w:ascii="Bookman Old Style" w:hAnsi="Bookman Old Style" w:cs="Arial"/>
          <w:sz w:val="20"/>
        </w:rPr>
      </w:pPr>
      <w:r w:rsidRPr="00947546">
        <w:rPr>
          <w:rFonts w:ascii="Bookman Old Style" w:hAnsi="Bookman Old Style" w:cs="Arial"/>
          <w:sz w:val="20"/>
        </w:rPr>
        <w:t>U 2026. godinu prenesen je višak prihoda iz prethodnih godina u iznosu od 369.740,54 EUR, od čega je za pokriće manjka u izvještajnom razdoblju raspoređen iznos od 162.974,24 EUR, odnosno 46,75 % planiranog iznosa za raspored.</w:t>
      </w:r>
    </w:p>
    <w:p w14:paraId="48673E2C" w14:textId="77777777" w:rsidR="00332EA1" w:rsidRDefault="00332EA1" w:rsidP="00C112F2">
      <w:pPr>
        <w:pStyle w:val="StandardWeb"/>
        <w:jc w:val="both"/>
        <w:rPr>
          <w:rFonts w:ascii="Bookman Old Style" w:hAnsi="Bookman Old Style" w:cs="Arial"/>
          <w:sz w:val="20"/>
        </w:rPr>
      </w:pPr>
    </w:p>
    <w:p w14:paraId="3BC90C81" w14:textId="77777777" w:rsidR="00332EA1" w:rsidRPr="00E660BE" w:rsidRDefault="00332EA1" w:rsidP="00332EA1">
      <w:pPr>
        <w:pStyle w:val="StandardWeb"/>
        <w:numPr>
          <w:ilvl w:val="0"/>
          <w:numId w:val="11"/>
        </w:numPr>
        <w:jc w:val="both"/>
        <w:rPr>
          <w:rFonts w:ascii="Bookman Old Style" w:hAnsi="Bookman Old Style" w:cs="Arial"/>
          <w:b/>
          <w:sz w:val="22"/>
          <w:szCs w:val="22"/>
        </w:rPr>
      </w:pPr>
      <w:r w:rsidRPr="00E660BE">
        <w:rPr>
          <w:rFonts w:ascii="Bookman Old Style" w:hAnsi="Bookman Old Style"/>
          <w:b/>
          <w:sz w:val="22"/>
          <w:szCs w:val="22"/>
        </w:rPr>
        <w:lastRenderedPageBreak/>
        <w:t>IZVJEŠTAJ O PRIHODIMA I RASHODIMA PREMA EKONOMSKOJ KLASIFIKACIJI</w:t>
      </w:r>
    </w:p>
    <w:p w14:paraId="2AF187A2" w14:textId="77777777" w:rsidR="00332EA1" w:rsidRPr="00BB672D" w:rsidRDefault="00332EA1" w:rsidP="00332EA1">
      <w:pPr>
        <w:pStyle w:val="StandardWeb"/>
        <w:numPr>
          <w:ilvl w:val="0"/>
          <w:numId w:val="12"/>
        </w:numPr>
        <w:jc w:val="both"/>
        <w:rPr>
          <w:rFonts w:ascii="Bookman Old Style" w:hAnsi="Bookman Old Style"/>
          <w:b/>
          <w:sz w:val="22"/>
        </w:rPr>
      </w:pPr>
      <w:r w:rsidRPr="00BB672D">
        <w:rPr>
          <w:rFonts w:ascii="Bookman Old Style" w:hAnsi="Bookman Old Style"/>
          <w:b/>
          <w:sz w:val="22"/>
        </w:rPr>
        <w:t>PRIHODI POSLOVANJA</w:t>
      </w:r>
    </w:p>
    <w:p w14:paraId="0EED125E" w14:textId="6AB8F88C" w:rsidR="00332EA1" w:rsidRPr="00C112F2" w:rsidRDefault="00947546" w:rsidP="00C112F2">
      <w:pPr>
        <w:pStyle w:val="StandardWeb"/>
        <w:jc w:val="both"/>
        <w:rPr>
          <w:rFonts w:ascii="Bookman Old Style" w:hAnsi="Bookman Old Style" w:cs="Arial"/>
          <w:sz w:val="20"/>
        </w:rPr>
      </w:pPr>
      <w:r w:rsidRPr="00947546">
        <w:rPr>
          <w:noProof/>
        </w:rPr>
        <w:drawing>
          <wp:inline distT="0" distB="0" distL="0" distR="0" wp14:anchorId="56127145" wp14:editId="367C0D50">
            <wp:extent cx="6372225" cy="53530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2225" cy="5353050"/>
                    </a:xfrm>
                    <a:prstGeom prst="rect">
                      <a:avLst/>
                    </a:prstGeom>
                    <a:noFill/>
                    <a:ln>
                      <a:noFill/>
                    </a:ln>
                  </pic:spPr>
                </pic:pic>
              </a:graphicData>
            </a:graphic>
          </wp:inline>
        </w:drawing>
      </w:r>
    </w:p>
    <w:p w14:paraId="37E662B0" w14:textId="77777777" w:rsidR="000B30DB" w:rsidRPr="00BB672D" w:rsidRDefault="000B30DB" w:rsidP="000B30DB">
      <w:pPr>
        <w:pStyle w:val="StandardWeb"/>
        <w:jc w:val="both"/>
        <w:rPr>
          <w:rFonts w:ascii="Bookman Old Style" w:hAnsi="Bookman Old Style" w:cs="Arial"/>
          <w:b/>
          <w:sz w:val="20"/>
        </w:rPr>
      </w:pPr>
      <w:r>
        <w:rPr>
          <w:rFonts w:ascii="Bookman Old Style" w:hAnsi="Bookman Old Style" w:cs="Arial"/>
          <w:b/>
          <w:sz w:val="20"/>
        </w:rPr>
        <w:t>63</w:t>
      </w:r>
      <w:r w:rsidRPr="00BB672D">
        <w:rPr>
          <w:rFonts w:ascii="Bookman Old Style" w:hAnsi="Bookman Old Style" w:cs="Arial"/>
          <w:b/>
          <w:sz w:val="20"/>
        </w:rPr>
        <w:t xml:space="preserve"> – Pomoći iz inozemstva i od subjekata unutar općeg proračuna</w:t>
      </w:r>
    </w:p>
    <w:p w14:paraId="6DF3AA10" w14:textId="77777777" w:rsidR="00947546" w:rsidRPr="00947546" w:rsidRDefault="00947546" w:rsidP="00947546">
      <w:pPr>
        <w:pStyle w:val="StandardWeb"/>
        <w:jc w:val="both"/>
        <w:rPr>
          <w:rFonts w:ascii="Bookman Old Style" w:hAnsi="Bookman Old Style" w:cs="Arial"/>
          <w:sz w:val="20"/>
        </w:rPr>
      </w:pPr>
      <w:r w:rsidRPr="00947546">
        <w:rPr>
          <w:rFonts w:ascii="Bookman Old Style" w:hAnsi="Bookman Old Style" w:cs="Arial"/>
          <w:sz w:val="20"/>
        </w:rPr>
        <w:t>Pomoći iz inozemstva i od subjekata unutar općeg proračuna ostvarene su u iznosu od 159.671,13 EUR, što predstavlja 104,36 % planiranog godišnjeg iznosa. U odnosu na isto razdoblje prethodne godine, kada su navedeni prihodi iznosili 19.640,39 EUR, ostvareno je povećanje od 712,97 %.</w:t>
      </w:r>
    </w:p>
    <w:p w14:paraId="37D00C4B" w14:textId="77777777" w:rsidR="00947546" w:rsidRPr="00947546" w:rsidRDefault="00947546" w:rsidP="00947546">
      <w:pPr>
        <w:pStyle w:val="StandardWeb"/>
        <w:jc w:val="both"/>
        <w:rPr>
          <w:rFonts w:ascii="Bookman Old Style" w:hAnsi="Bookman Old Style" w:cs="Arial"/>
          <w:sz w:val="20"/>
        </w:rPr>
      </w:pPr>
      <w:r w:rsidRPr="00947546">
        <w:rPr>
          <w:rFonts w:ascii="Bookman Old Style" w:hAnsi="Bookman Old Style" w:cs="Arial"/>
          <w:sz w:val="20"/>
        </w:rPr>
        <w:t>Najznačajniji dio ostvarenih prihoda odnosi se na pomoći proračunskim korisnicima iz proračuna koji im nije nadležan u iznosu od 139.373,44 EUR. Navedeni prihod evidentiran je sukladno Uputi Ministarstva financija za knjigovodstveno evidentiranje nabave i distribucije cjepiva kod Hrvatskog zavoda za javno zdravstvo, Hrvatskog zavoda za zdravstveno osiguranje i županijskih zavoda za javno zdravstvo (KLASA: 011-01/23-01/23, URBROJ: 513-05-03-24-4), prema kojoj županijski zavodi za javno zdravstvo iskazuju vrijednost zaprimljenih i distribuiranih cjepiva kao tekuću pomoć iz državnog proračuna. Riječ je o knjigovodstvenom evidentiranju vrijednosti cjepiva koje ne predstavlja stvarni novčani priljev.</w:t>
      </w:r>
    </w:p>
    <w:p w14:paraId="4374630D" w14:textId="77777777" w:rsidR="00947546" w:rsidRPr="00947546" w:rsidRDefault="00947546" w:rsidP="00947546">
      <w:pPr>
        <w:pStyle w:val="StandardWeb"/>
        <w:jc w:val="both"/>
        <w:rPr>
          <w:rFonts w:ascii="Bookman Old Style" w:hAnsi="Bookman Old Style" w:cs="Arial"/>
          <w:sz w:val="20"/>
        </w:rPr>
      </w:pPr>
      <w:r w:rsidRPr="00947546">
        <w:rPr>
          <w:rFonts w:ascii="Bookman Old Style" w:hAnsi="Bookman Old Style" w:cs="Arial"/>
          <w:sz w:val="20"/>
        </w:rPr>
        <w:t>Pomoći od izvanproračunskih korisnika ostvarene su u iznosu od 19.214,34 EUR, a odnose se na sredstva Hrvatskog zavoda za zdravstveno osiguranje doznačena za financiranje troškova plaća dva pripravnika, sukladno sklopljenim ugovorima o financiranju pripravničkog staža.</w:t>
      </w:r>
    </w:p>
    <w:p w14:paraId="6308C057" w14:textId="77777777" w:rsidR="00947546" w:rsidRPr="00947546" w:rsidRDefault="00947546" w:rsidP="00947546">
      <w:pPr>
        <w:pStyle w:val="StandardWeb"/>
        <w:jc w:val="both"/>
        <w:rPr>
          <w:rFonts w:ascii="Bookman Old Style" w:hAnsi="Bookman Old Style" w:cs="Arial"/>
          <w:sz w:val="20"/>
        </w:rPr>
      </w:pPr>
      <w:r w:rsidRPr="00947546">
        <w:rPr>
          <w:rFonts w:ascii="Bookman Old Style" w:hAnsi="Bookman Old Style" w:cs="Arial"/>
          <w:sz w:val="20"/>
        </w:rPr>
        <w:lastRenderedPageBreak/>
        <w:t>Pomoći temeljem prijenosa sredstava Europske unije ostvarene su u iznosu od 1.083,35 EUR, a odnose se na sredstva ostvarena temeljem Ugovora o dodjeli bespovratnih sredstava u okviru Nacionalnog plana oporavka i otpornosti 2021. – 2026. za financiranje specijalizacija. U odnosu na isto razdoblje prethodne godine ostvarene su u manjem iznosu zbog dinamike podnošenja i odobravanja zahtjeva za nadoknadu sredstava.</w:t>
      </w:r>
    </w:p>
    <w:p w14:paraId="62F22F13" w14:textId="77777777" w:rsidR="000B30DB" w:rsidRPr="00BB672D" w:rsidRDefault="000B30DB" w:rsidP="000B30DB">
      <w:pPr>
        <w:pStyle w:val="StandardWeb"/>
        <w:jc w:val="both"/>
        <w:rPr>
          <w:rFonts w:ascii="Bookman Old Style" w:hAnsi="Bookman Old Style" w:cs="Arial"/>
          <w:b/>
          <w:sz w:val="20"/>
        </w:rPr>
      </w:pPr>
      <w:r>
        <w:rPr>
          <w:rFonts w:ascii="Bookman Old Style" w:hAnsi="Bookman Old Style" w:cs="Arial"/>
          <w:b/>
          <w:sz w:val="20"/>
        </w:rPr>
        <w:t>64</w:t>
      </w:r>
      <w:r w:rsidRPr="00BB672D">
        <w:rPr>
          <w:rFonts w:ascii="Bookman Old Style" w:hAnsi="Bookman Old Style" w:cs="Arial"/>
          <w:b/>
          <w:sz w:val="20"/>
        </w:rPr>
        <w:t xml:space="preserve"> – Prihodi od imovine</w:t>
      </w:r>
    </w:p>
    <w:p w14:paraId="297448D4" w14:textId="77777777" w:rsidR="00947546" w:rsidRPr="00947546" w:rsidRDefault="00947546" w:rsidP="00947546">
      <w:pPr>
        <w:pStyle w:val="StandardWeb"/>
        <w:jc w:val="both"/>
        <w:rPr>
          <w:rFonts w:ascii="Bookman Old Style" w:hAnsi="Bookman Old Style" w:cs="Arial"/>
          <w:sz w:val="20"/>
        </w:rPr>
      </w:pPr>
      <w:r w:rsidRPr="00947546">
        <w:rPr>
          <w:rFonts w:ascii="Bookman Old Style" w:hAnsi="Bookman Old Style" w:cs="Arial"/>
          <w:sz w:val="20"/>
        </w:rPr>
        <w:t>Prihodi od imovine ostvareni su u iznosu od 111,97 EUR, što predstavlja 27,99 % planiranog godišnjeg iznosa. U odnosu na isto razdoblje prethodne godine, kada su iznosili 144,94 EUR, ostvareni su u manjem iznosu, odnosno za 22,75 %.</w:t>
      </w:r>
    </w:p>
    <w:p w14:paraId="6D1AB8C4" w14:textId="77777777" w:rsidR="00947546" w:rsidRPr="00947546" w:rsidRDefault="00947546" w:rsidP="00947546">
      <w:pPr>
        <w:pStyle w:val="StandardWeb"/>
        <w:jc w:val="both"/>
        <w:rPr>
          <w:rFonts w:ascii="Bookman Old Style" w:hAnsi="Bookman Old Style" w:cs="Arial"/>
          <w:sz w:val="20"/>
        </w:rPr>
      </w:pPr>
      <w:r w:rsidRPr="00947546">
        <w:rPr>
          <w:rFonts w:ascii="Bookman Old Style" w:hAnsi="Bookman Old Style" w:cs="Arial"/>
          <w:sz w:val="20"/>
        </w:rPr>
        <w:t>Ostvareni prihodi u cijelosti se odnose na prihode od financijske imovine, odnosno kamate na oročena sredstva i depozite po viđenju. Smanjenje prihoda u odnosu na isto razdoblje prethodne godine posljedica je nižih prihoda od kamata na depozite, što je rezultat promjene tržišnih kamatnih stopa te dinamike oročavanja raspoloživih novčanih sredstava tijekom izvještajnog razdoblja.</w:t>
      </w:r>
    </w:p>
    <w:p w14:paraId="15F6F01C" w14:textId="77777777" w:rsidR="00C52F17" w:rsidRDefault="00C52F17" w:rsidP="00C52F17">
      <w:pPr>
        <w:pStyle w:val="StandardWeb"/>
        <w:jc w:val="both"/>
        <w:rPr>
          <w:rFonts w:ascii="Bookman Old Style" w:hAnsi="Bookman Old Style" w:cs="Arial"/>
          <w:b/>
          <w:sz w:val="20"/>
        </w:rPr>
      </w:pPr>
      <w:r>
        <w:rPr>
          <w:rFonts w:ascii="Bookman Old Style" w:hAnsi="Bookman Old Style" w:cs="Arial"/>
          <w:b/>
          <w:sz w:val="20"/>
        </w:rPr>
        <w:t>65</w:t>
      </w:r>
      <w:r w:rsidRPr="00BB672D">
        <w:rPr>
          <w:rFonts w:ascii="Bookman Old Style" w:hAnsi="Bookman Old Style" w:cs="Arial"/>
          <w:b/>
          <w:sz w:val="20"/>
        </w:rPr>
        <w:t xml:space="preserve"> –</w:t>
      </w:r>
      <w:r>
        <w:rPr>
          <w:rFonts w:ascii="Bookman Old Style" w:hAnsi="Bookman Old Style" w:cs="Arial"/>
          <w:b/>
          <w:sz w:val="20"/>
        </w:rPr>
        <w:t xml:space="preserve"> Prihodi od upravnih i administrativnih pristojbi, pristojbi po posebnim propisima i naknadama</w:t>
      </w:r>
    </w:p>
    <w:p w14:paraId="706EADDF" w14:textId="77777777" w:rsidR="00457858" w:rsidRPr="00457858" w:rsidRDefault="00457858" w:rsidP="00457858">
      <w:pPr>
        <w:pStyle w:val="StandardWeb"/>
        <w:jc w:val="both"/>
        <w:rPr>
          <w:rFonts w:ascii="Bookman Old Style" w:hAnsi="Bookman Old Style" w:cs="Arial"/>
          <w:sz w:val="20"/>
        </w:rPr>
      </w:pPr>
      <w:r w:rsidRPr="00457858">
        <w:rPr>
          <w:rFonts w:ascii="Bookman Old Style" w:hAnsi="Bookman Old Style" w:cs="Arial"/>
          <w:sz w:val="20"/>
        </w:rPr>
        <w:t>Prihodi od upravnih i administrativnih pristojbi, pristojbi po posebnim propisima i naknada ostvareni su u iznosu od 146.330,26 EUR, što predstavlja 66,51 % planiranog godišnjeg iznosa. U odnosu na isto razdoblje prethodne godine, kada su iznosili 118.287,89 EUR, ostvareni su u većem iznosu, odnosno za 23,71 %.</w:t>
      </w:r>
    </w:p>
    <w:p w14:paraId="61113620" w14:textId="77777777" w:rsidR="00457858" w:rsidRPr="00457858" w:rsidRDefault="00457858" w:rsidP="00457858">
      <w:pPr>
        <w:pStyle w:val="StandardWeb"/>
        <w:jc w:val="both"/>
        <w:rPr>
          <w:rFonts w:ascii="Bookman Old Style" w:hAnsi="Bookman Old Style" w:cs="Arial"/>
          <w:sz w:val="20"/>
        </w:rPr>
      </w:pPr>
      <w:r w:rsidRPr="00457858">
        <w:rPr>
          <w:rFonts w:ascii="Bookman Old Style" w:hAnsi="Bookman Old Style" w:cs="Arial"/>
          <w:sz w:val="20"/>
        </w:rPr>
        <w:t>Ostvareni prihodi u cijelosti se odnose na prihode od participacije u troškovima zdravstvene zaštite, od čega se 92.293,91 EUR odnosi na prihode ostvarene temeljem dopunskog zdravstvenog osiguranja Hrvatskog zavoda za zdravstveno osiguranje, 49.948,98 EUR na prihode ostvarene od vanjskih osiguravajućih kuća koje podmiruju troškove participacije svojih osiguranika, dok se 4.087,37 EUR odnosi na participaciju koju su neposredno podmirili pacijenti.</w:t>
      </w:r>
    </w:p>
    <w:p w14:paraId="6C565C0A" w14:textId="77777777" w:rsidR="00457858" w:rsidRPr="00457858" w:rsidRDefault="00457858" w:rsidP="00457858">
      <w:pPr>
        <w:pStyle w:val="StandardWeb"/>
        <w:jc w:val="both"/>
        <w:rPr>
          <w:rFonts w:ascii="Bookman Old Style" w:hAnsi="Bookman Old Style" w:cs="Arial"/>
          <w:sz w:val="20"/>
        </w:rPr>
      </w:pPr>
      <w:r w:rsidRPr="00457858">
        <w:rPr>
          <w:rFonts w:ascii="Bookman Old Style" w:hAnsi="Bookman Old Style" w:cs="Arial"/>
          <w:sz w:val="20"/>
        </w:rPr>
        <w:t>Povećanje prihoda u odnosu na isto razdoblje prethodne godine najvećim je dijelom rezultat povećane naplate potraživanja iz prethodnih razdoblja od vanjskih osiguravajućih kuća.</w:t>
      </w:r>
    </w:p>
    <w:p w14:paraId="349FC6B4" w14:textId="77777777" w:rsidR="00C52F17" w:rsidRPr="00842BA9" w:rsidRDefault="00C52F17" w:rsidP="00C52F17">
      <w:pPr>
        <w:pStyle w:val="StandardWeb"/>
        <w:jc w:val="both"/>
        <w:rPr>
          <w:rFonts w:ascii="Bookman Old Style" w:hAnsi="Bookman Old Style" w:cs="Arial"/>
          <w:b/>
          <w:sz w:val="20"/>
        </w:rPr>
      </w:pPr>
      <w:r w:rsidRPr="00842BA9">
        <w:rPr>
          <w:rFonts w:ascii="Bookman Old Style" w:hAnsi="Bookman Old Style" w:cs="Arial"/>
          <w:b/>
          <w:sz w:val="20"/>
        </w:rPr>
        <w:t>66 – Prihodi od prodaje proizvoda i robe te pruženih usluga i prihodi od donacija</w:t>
      </w:r>
    </w:p>
    <w:p w14:paraId="30A7F8CB" w14:textId="77777777" w:rsidR="00842BA9" w:rsidRDefault="00E43671" w:rsidP="00E43671">
      <w:pPr>
        <w:pStyle w:val="StandardWeb"/>
        <w:jc w:val="both"/>
        <w:rPr>
          <w:rFonts w:ascii="Bookman Old Style" w:hAnsi="Bookman Old Style" w:cs="Arial"/>
          <w:sz w:val="20"/>
        </w:rPr>
      </w:pPr>
      <w:r w:rsidRPr="00E43671">
        <w:rPr>
          <w:rFonts w:ascii="Bookman Old Style" w:hAnsi="Bookman Old Style" w:cs="Arial"/>
          <w:sz w:val="20"/>
        </w:rPr>
        <w:t>Prihodi od prodaje proizvoda i robe te pruženih usluga i prihodi od donacija ostvareni su u iznosu od 929.716,66 EUR, što predstavlja 50,20 % planiranog godišnjeg iznosa. U odnosu na isto razdoblje prethodne godine, kada su iznosili 719.878,33 EUR, ostvareni su u većem iznosu, odnosno za 29,15 %.</w:t>
      </w:r>
      <w:r w:rsidR="00842BA9">
        <w:rPr>
          <w:rFonts w:ascii="Bookman Old Style" w:hAnsi="Bookman Old Style" w:cs="Arial"/>
          <w:sz w:val="20"/>
        </w:rPr>
        <w:t xml:space="preserve"> </w:t>
      </w:r>
      <w:r w:rsidRPr="00E43671">
        <w:rPr>
          <w:rFonts w:ascii="Bookman Old Style" w:hAnsi="Bookman Old Style" w:cs="Arial"/>
          <w:sz w:val="20"/>
        </w:rPr>
        <w:t>Ostvareni prihodi u cijelosti se odnose na prihode od pruženih usluga</w:t>
      </w:r>
      <w:r w:rsidR="00842BA9">
        <w:rPr>
          <w:rFonts w:ascii="Bookman Old Style" w:hAnsi="Bookman Old Style" w:cs="Arial"/>
          <w:sz w:val="20"/>
        </w:rPr>
        <w:t>.</w:t>
      </w:r>
    </w:p>
    <w:p w14:paraId="1EA65F8B" w14:textId="3700600F" w:rsidR="00E43671" w:rsidRPr="00E43671" w:rsidRDefault="00E43671" w:rsidP="00E43671">
      <w:pPr>
        <w:pStyle w:val="StandardWeb"/>
        <w:jc w:val="both"/>
        <w:rPr>
          <w:rFonts w:ascii="Bookman Old Style" w:hAnsi="Bookman Old Style" w:cs="Arial"/>
          <w:sz w:val="20"/>
        </w:rPr>
      </w:pPr>
      <w:r w:rsidRPr="00E43671">
        <w:rPr>
          <w:rFonts w:ascii="Bookman Old Style" w:hAnsi="Bookman Old Style" w:cs="Arial"/>
          <w:sz w:val="20"/>
        </w:rPr>
        <w:t>Povećanje prihoda u odnosu na isto razdoblje prethodne godine najvećim je dijelom rezultat povećane naplate potraživanja iz prethodnih razdoblja te većeg obujma pruženih usluga u odnosu na prvo polugodište 2025. godine.</w:t>
      </w:r>
    </w:p>
    <w:p w14:paraId="4745CC54" w14:textId="77777777" w:rsidR="00C52F17" w:rsidRDefault="00C52F17" w:rsidP="00C52F17">
      <w:pPr>
        <w:pStyle w:val="StandardWeb"/>
        <w:jc w:val="both"/>
        <w:rPr>
          <w:rFonts w:ascii="Bookman Old Style" w:hAnsi="Bookman Old Style" w:cs="Arial"/>
          <w:b/>
          <w:sz w:val="20"/>
        </w:rPr>
      </w:pPr>
      <w:r>
        <w:rPr>
          <w:rFonts w:ascii="Bookman Old Style" w:hAnsi="Bookman Old Style" w:cs="Arial"/>
          <w:b/>
          <w:sz w:val="20"/>
        </w:rPr>
        <w:t xml:space="preserve">67 </w:t>
      </w:r>
      <w:r w:rsidRPr="00BB672D">
        <w:rPr>
          <w:rFonts w:ascii="Bookman Old Style" w:hAnsi="Bookman Old Style" w:cs="Arial"/>
          <w:b/>
          <w:sz w:val="20"/>
        </w:rPr>
        <w:t xml:space="preserve">– Prihodi od nadležnog proračuna </w:t>
      </w:r>
      <w:r>
        <w:rPr>
          <w:rFonts w:ascii="Bookman Old Style" w:hAnsi="Bookman Old Style" w:cs="Arial"/>
          <w:b/>
          <w:sz w:val="20"/>
        </w:rPr>
        <w:t>i od HZZO-a na temelju ugovorenih obveza</w:t>
      </w:r>
    </w:p>
    <w:p w14:paraId="7AEDD2E5" w14:textId="77777777" w:rsidR="00E43671" w:rsidRPr="00E43671" w:rsidRDefault="00E43671" w:rsidP="00E43671">
      <w:pPr>
        <w:pStyle w:val="StandardWeb"/>
        <w:jc w:val="both"/>
        <w:rPr>
          <w:rFonts w:ascii="Bookman Old Style" w:hAnsi="Bookman Old Style" w:cs="Arial"/>
          <w:sz w:val="20"/>
        </w:rPr>
      </w:pPr>
      <w:r w:rsidRPr="00E43671">
        <w:rPr>
          <w:rFonts w:ascii="Bookman Old Style" w:hAnsi="Bookman Old Style" w:cs="Arial"/>
          <w:sz w:val="20"/>
        </w:rPr>
        <w:t>Prihodi iz nadležnog proračuna i od Hrvatskog zavoda za zdravstveno osiguranje na temelju ugovornih obveza ostvareni su u iznosu od 1.464.288,45 EUR, što predstavlja 46,89 % planiranog godišnjeg iznosa. U odnosu na isto razdoblje prethodne godine, kada su iznosili 1.280.205,77 EUR, ostvareni su u većem iznosu, odnosno za 14,38 %.</w:t>
      </w:r>
    </w:p>
    <w:p w14:paraId="10C09ACC" w14:textId="77777777" w:rsidR="00E43671" w:rsidRPr="00E43671" w:rsidRDefault="00E43671" w:rsidP="00E43671">
      <w:pPr>
        <w:pStyle w:val="StandardWeb"/>
        <w:jc w:val="both"/>
        <w:rPr>
          <w:rFonts w:ascii="Bookman Old Style" w:hAnsi="Bookman Old Style" w:cs="Arial"/>
          <w:sz w:val="20"/>
        </w:rPr>
      </w:pPr>
      <w:r w:rsidRPr="00E43671">
        <w:rPr>
          <w:rFonts w:ascii="Bookman Old Style" w:hAnsi="Bookman Old Style" w:cs="Arial"/>
          <w:sz w:val="20"/>
        </w:rPr>
        <w:t>Prihodi iz nadležnog proračuna za financiranje redovne djelatnosti proračunskih korisnika ostvareni su u iznosu od 225.661,13 EUR. Od navedenog iznosa 190.661,13 EUR odnosi se na sredstva doznačena od osnivača za financiranje rashoda poslovanja radi povećanja standarda zdravstvene ustanove, odnosno za podmirenje dospjelih obveza prema dobavljačima i financiranje rashoda za plaće, dok se 35.000,00 EUR odnosi na decentralizirana sredstva za financiranje rashoda za nabavu nefinancijske imovine.</w:t>
      </w:r>
    </w:p>
    <w:p w14:paraId="47FF4479" w14:textId="77777777" w:rsidR="00E43671" w:rsidRPr="00E43671" w:rsidRDefault="00E43671" w:rsidP="00E43671">
      <w:pPr>
        <w:pStyle w:val="StandardWeb"/>
        <w:jc w:val="both"/>
        <w:rPr>
          <w:rFonts w:ascii="Bookman Old Style" w:hAnsi="Bookman Old Style" w:cs="Arial"/>
          <w:sz w:val="20"/>
        </w:rPr>
      </w:pPr>
      <w:r w:rsidRPr="00E43671">
        <w:rPr>
          <w:rFonts w:ascii="Bookman Old Style" w:hAnsi="Bookman Old Style" w:cs="Arial"/>
          <w:sz w:val="20"/>
        </w:rPr>
        <w:lastRenderedPageBreak/>
        <w:t>Prihodi od Hrvatskog zavoda za zdravstveno osiguranje na temelju ugovornih obveza ostvareni su u iznosu od 1.238.627,32 EUR, od čega se 911.689,54 EUR odnosi na prihode temeljem ugovora za provođenje primarne zdravstvene zaštite, dok se 326.937,78 EUR odnosi na prihode temeljem ugovora za provođenje specijalističko-konzilijarne (sekundarne) zdravstvene zaštite.</w:t>
      </w:r>
    </w:p>
    <w:p w14:paraId="4D4530EA" w14:textId="77777777" w:rsidR="00471564" w:rsidRPr="00BB672D" w:rsidRDefault="00471564" w:rsidP="00471564">
      <w:pPr>
        <w:pStyle w:val="StandardWeb"/>
        <w:jc w:val="both"/>
        <w:rPr>
          <w:rFonts w:ascii="Bookman Old Style" w:hAnsi="Bookman Old Style" w:cs="Arial"/>
          <w:b/>
          <w:sz w:val="20"/>
        </w:rPr>
      </w:pPr>
      <w:r>
        <w:rPr>
          <w:rFonts w:ascii="Bookman Old Style" w:hAnsi="Bookman Old Style" w:cs="Arial"/>
          <w:b/>
          <w:sz w:val="20"/>
        </w:rPr>
        <w:t>68</w:t>
      </w:r>
      <w:r w:rsidRPr="00BB672D">
        <w:rPr>
          <w:rFonts w:ascii="Bookman Old Style" w:hAnsi="Bookman Old Style" w:cs="Arial"/>
          <w:b/>
          <w:sz w:val="20"/>
        </w:rPr>
        <w:t xml:space="preserve"> – </w:t>
      </w:r>
      <w:r>
        <w:rPr>
          <w:rFonts w:ascii="Bookman Old Style" w:hAnsi="Bookman Old Style" w:cs="Arial"/>
          <w:b/>
          <w:sz w:val="20"/>
        </w:rPr>
        <w:t>Kazne, upravne mjere i ostali prihodi</w:t>
      </w:r>
    </w:p>
    <w:p w14:paraId="7FBCCF2C" w14:textId="77777777" w:rsidR="00EF313B" w:rsidRPr="00EF313B" w:rsidRDefault="00EF313B" w:rsidP="00EF313B">
      <w:pPr>
        <w:pStyle w:val="StandardWeb"/>
        <w:jc w:val="both"/>
        <w:rPr>
          <w:rFonts w:ascii="Bookman Old Style" w:hAnsi="Bookman Old Style" w:cs="Arial"/>
          <w:sz w:val="20"/>
        </w:rPr>
      </w:pPr>
      <w:r w:rsidRPr="00EF313B">
        <w:rPr>
          <w:rFonts w:ascii="Bookman Old Style" w:hAnsi="Bookman Old Style" w:cs="Arial"/>
          <w:sz w:val="20"/>
        </w:rPr>
        <w:t>Kazne, upravne mjere i ostali prihodi ostvareni su u iznosu od 682,89 EUR, što predstavlja 7,59 % planiranog godišnjeg iznosa. U odnosu na isto razdoblje prethodne godine, kada su ostvareni u iznosu od 3.152,61 EUR, navedeni prihodi manji su za 78,34 %.</w:t>
      </w:r>
    </w:p>
    <w:p w14:paraId="0964DAA0" w14:textId="3ADC9C1A" w:rsidR="00EF313B" w:rsidRPr="00EF313B" w:rsidRDefault="00EF313B" w:rsidP="00EF313B">
      <w:pPr>
        <w:pStyle w:val="StandardWeb"/>
        <w:jc w:val="both"/>
        <w:rPr>
          <w:rFonts w:ascii="Bookman Old Style" w:hAnsi="Bookman Old Style" w:cs="Arial"/>
          <w:sz w:val="20"/>
        </w:rPr>
      </w:pPr>
      <w:r w:rsidRPr="00EF313B">
        <w:rPr>
          <w:rFonts w:ascii="Bookman Old Style" w:hAnsi="Bookman Old Style" w:cs="Arial"/>
          <w:sz w:val="20"/>
        </w:rPr>
        <w:t>Ostvareni prihodi u cijelosti se odno</w:t>
      </w:r>
      <w:r w:rsidR="00842BA9">
        <w:rPr>
          <w:rFonts w:ascii="Bookman Old Style" w:hAnsi="Bookman Old Style" w:cs="Arial"/>
          <w:sz w:val="20"/>
        </w:rPr>
        <w:t>se na ostale prihode</w:t>
      </w:r>
      <w:r w:rsidRPr="00EF313B">
        <w:rPr>
          <w:rFonts w:ascii="Bookman Old Style" w:hAnsi="Bookman Old Style" w:cs="Arial"/>
          <w:sz w:val="20"/>
        </w:rPr>
        <w:t>, a najvećim dijelom ostvareni su po osnovi refundacije troškova plaće djelatnice koja specijalizaciju obavlja u drugoj zdravstvenoj ustanovi.</w:t>
      </w:r>
    </w:p>
    <w:p w14:paraId="7D23E78A" w14:textId="77777777" w:rsidR="00EF313B" w:rsidRPr="00EF313B" w:rsidRDefault="00EF313B" w:rsidP="00EF313B">
      <w:pPr>
        <w:pStyle w:val="StandardWeb"/>
        <w:jc w:val="both"/>
        <w:rPr>
          <w:rFonts w:ascii="Bookman Old Style" w:hAnsi="Bookman Old Style" w:cs="Arial"/>
          <w:sz w:val="20"/>
        </w:rPr>
      </w:pPr>
      <w:r w:rsidRPr="00EF313B">
        <w:rPr>
          <w:rFonts w:ascii="Bookman Old Style" w:hAnsi="Bookman Old Style" w:cs="Arial"/>
          <w:sz w:val="20"/>
        </w:rPr>
        <w:t>Manje ostvarenje u odnosu na isto razdoblje prethodne godine posljedica je dinamike ostvarivanja refundacija troškova plaće tijekom izvještajnog razdoblja.</w:t>
      </w:r>
    </w:p>
    <w:p w14:paraId="3C98351F" w14:textId="77777777" w:rsidR="00471564" w:rsidRDefault="007B5CF4" w:rsidP="00C52F17">
      <w:pPr>
        <w:pStyle w:val="StandardWeb"/>
        <w:jc w:val="both"/>
        <w:rPr>
          <w:rFonts w:ascii="Bookman Old Style" w:hAnsi="Bookman Old Style" w:cs="Arial"/>
          <w:b/>
          <w:sz w:val="20"/>
        </w:rPr>
      </w:pPr>
      <w:r w:rsidRPr="007B5CF4">
        <w:rPr>
          <w:rFonts w:ascii="Bookman Old Style" w:hAnsi="Bookman Old Style" w:cs="Arial"/>
          <w:b/>
          <w:sz w:val="20"/>
        </w:rPr>
        <w:t>72 – Prihodi od prodaje proizvedene dugotrajne imovine</w:t>
      </w:r>
    </w:p>
    <w:p w14:paraId="601DC335" w14:textId="77777777" w:rsidR="00EF313B" w:rsidRPr="00EF313B" w:rsidRDefault="00EF313B" w:rsidP="00EF313B">
      <w:pPr>
        <w:pStyle w:val="StandardWeb"/>
        <w:jc w:val="both"/>
        <w:rPr>
          <w:rFonts w:ascii="Bookman Old Style" w:hAnsi="Bookman Old Style" w:cs="Arial"/>
          <w:sz w:val="20"/>
        </w:rPr>
      </w:pPr>
      <w:r w:rsidRPr="00EF313B">
        <w:rPr>
          <w:rFonts w:ascii="Bookman Old Style" w:hAnsi="Bookman Old Style" w:cs="Arial"/>
          <w:sz w:val="20"/>
        </w:rPr>
        <w:t>Prihodi od prodaje nefinancijske imovine ostvareni su u iznosu od 4.168,00 EUR, što predstavlja 138,93 % planiranog godišnjeg iznosa.</w:t>
      </w:r>
    </w:p>
    <w:p w14:paraId="70D6A3BD" w14:textId="77777777" w:rsidR="00EF313B" w:rsidRPr="00EF313B" w:rsidRDefault="00EF313B" w:rsidP="00EF313B">
      <w:pPr>
        <w:pStyle w:val="StandardWeb"/>
        <w:jc w:val="both"/>
        <w:rPr>
          <w:rFonts w:ascii="Bookman Old Style" w:hAnsi="Bookman Old Style" w:cs="Arial"/>
          <w:sz w:val="20"/>
        </w:rPr>
      </w:pPr>
      <w:r w:rsidRPr="00EF313B">
        <w:rPr>
          <w:rFonts w:ascii="Bookman Old Style" w:hAnsi="Bookman Old Style" w:cs="Arial"/>
          <w:sz w:val="20"/>
        </w:rPr>
        <w:t>Ostvareni prihodi u cijelosti se odnose na prihode od prodaje proizvedene dugotrajne imovine, odnosno na prodaju tri rashodovana službena osobna vozila. Ostvarenje iznad planiranog iznosa rezultat je provedene prodaje vozila po cijenama višim od planiranih, odnosno činjenice da je ostvareni prihod od njihove prodaje premašio iznos predviđen financijskim planom.</w:t>
      </w:r>
    </w:p>
    <w:p w14:paraId="6631C595" w14:textId="57C98617" w:rsidR="00471564" w:rsidRDefault="00471564" w:rsidP="00C52F17">
      <w:pPr>
        <w:pStyle w:val="StandardWeb"/>
        <w:jc w:val="both"/>
        <w:rPr>
          <w:rFonts w:ascii="Bookman Old Style" w:hAnsi="Bookman Old Style" w:cs="Arial"/>
          <w:sz w:val="20"/>
        </w:rPr>
      </w:pPr>
    </w:p>
    <w:p w14:paraId="6929FE03" w14:textId="0B02BB3E" w:rsidR="00EF313B" w:rsidRDefault="00EF313B" w:rsidP="00C52F17">
      <w:pPr>
        <w:pStyle w:val="StandardWeb"/>
        <w:jc w:val="both"/>
        <w:rPr>
          <w:rFonts w:ascii="Bookman Old Style" w:hAnsi="Bookman Old Style" w:cs="Arial"/>
          <w:sz w:val="20"/>
        </w:rPr>
      </w:pPr>
    </w:p>
    <w:p w14:paraId="02D6008F" w14:textId="66E028EA" w:rsidR="00EF313B" w:rsidRDefault="00EF313B" w:rsidP="00C52F17">
      <w:pPr>
        <w:pStyle w:val="StandardWeb"/>
        <w:jc w:val="both"/>
        <w:rPr>
          <w:rFonts w:ascii="Bookman Old Style" w:hAnsi="Bookman Old Style" w:cs="Arial"/>
          <w:sz w:val="20"/>
        </w:rPr>
      </w:pPr>
    </w:p>
    <w:p w14:paraId="408E9757" w14:textId="3950B887" w:rsidR="00EF313B" w:rsidRDefault="00EF313B" w:rsidP="00C52F17">
      <w:pPr>
        <w:pStyle w:val="StandardWeb"/>
        <w:jc w:val="both"/>
        <w:rPr>
          <w:rFonts w:ascii="Bookman Old Style" w:hAnsi="Bookman Old Style" w:cs="Arial"/>
          <w:sz w:val="20"/>
        </w:rPr>
      </w:pPr>
    </w:p>
    <w:p w14:paraId="68C3D74D" w14:textId="3C279105" w:rsidR="00EF313B" w:rsidRDefault="00EF313B" w:rsidP="00C52F17">
      <w:pPr>
        <w:pStyle w:val="StandardWeb"/>
        <w:jc w:val="both"/>
        <w:rPr>
          <w:rFonts w:ascii="Bookman Old Style" w:hAnsi="Bookman Old Style" w:cs="Arial"/>
          <w:sz w:val="20"/>
        </w:rPr>
      </w:pPr>
    </w:p>
    <w:p w14:paraId="54F343CF" w14:textId="137D319F" w:rsidR="00EF313B" w:rsidRDefault="00EF313B" w:rsidP="00C52F17">
      <w:pPr>
        <w:pStyle w:val="StandardWeb"/>
        <w:jc w:val="both"/>
        <w:rPr>
          <w:rFonts w:ascii="Bookman Old Style" w:hAnsi="Bookman Old Style" w:cs="Arial"/>
          <w:sz w:val="20"/>
        </w:rPr>
      </w:pPr>
    </w:p>
    <w:p w14:paraId="3C5D5EFF" w14:textId="77777777" w:rsidR="00842BA9" w:rsidRDefault="00842BA9" w:rsidP="00C52F17">
      <w:pPr>
        <w:pStyle w:val="StandardWeb"/>
        <w:jc w:val="both"/>
        <w:rPr>
          <w:rFonts w:ascii="Bookman Old Style" w:hAnsi="Bookman Old Style" w:cs="Arial"/>
          <w:sz w:val="20"/>
        </w:rPr>
      </w:pPr>
    </w:p>
    <w:p w14:paraId="65123666" w14:textId="77777777" w:rsidR="00842BA9" w:rsidRDefault="00842BA9" w:rsidP="00C52F17">
      <w:pPr>
        <w:pStyle w:val="StandardWeb"/>
        <w:jc w:val="both"/>
        <w:rPr>
          <w:rFonts w:ascii="Bookman Old Style" w:hAnsi="Bookman Old Style" w:cs="Arial"/>
          <w:sz w:val="20"/>
        </w:rPr>
      </w:pPr>
    </w:p>
    <w:p w14:paraId="06BDD820" w14:textId="77777777" w:rsidR="00842BA9" w:rsidRDefault="00842BA9" w:rsidP="00C52F17">
      <w:pPr>
        <w:pStyle w:val="StandardWeb"/>
        <w:jc w:val="both"/>
        <w:rPr>
          <w:rFonts w:ascii="Bookman Old Style" w:hAnsi="Bookman Old Style" w:cs="Arial"/>
          <w:sz w:val="20"/>
        </w:rPr>
      </w:pPr>
    </w:p>
    <w:p w14:paraId="44E556EF" w14:textId="2D44F52D" w:rsidR="00EF313B" w:rsidRDefault="00EF313B" w:rsidP="00C52F17">
      <w:pPr>
        <w:pStyle w:val="StandardWeb"/>
        <w:jc w:val="both"/>
        <w:rPr>
          <w:rFonts w:ascii="Bookman Old Style" w:hAnsi="Bookman Old Style" w:cs="Arial"/>
          <w:sz w:val="20"/>
        </w:rPr>
      </w:pPr>
    </w:p>
    <w:p w14:paraId="497E9DD5" w14:textId="1979D018" w:rsidR="00EF313B" w:rsidRDefault="00EF313B" w:rsidP="00C52F17">
      <w:pPr>
        <w:pStyle w:val="StandardWeb"/>
        <w:jc w:val="both"/>
        <w:rPr>
          <w:rFonts w:ascii="Bookman Old Style" w:hAnsi="Bookman Old Style" w:cs="Arial"/>
          <w:sz w:val="20"/>
        </w:rPr>
      </w:pPr>
    </w:p>
    <w:p w14:paraId="7130E8C8" w14:textId="2A51E7C1" w:rsidR="00EF313B" w:rsidRDefault="00EF313B" w:rsidP="00C52F17">
      <w:pPr>
        <w:pStyle w:val="StandardWeb"/>
        <w:jc w:val="both"/>
        <w:rPr>
          <w:rFonts w:ascii="Bookman Old Style" w:hAnsi="Bookman Old Style" w:cs="Arial"/>
          <w:sz w:val="20"/>
        </w:rPr>
      </w:pPr>
    </w:p>
    <w:p w14:paraId="2334A198" w14:textId="35280CD3" w:rsidR="00E660BE" w:rsidRDefault="00E660BE" w:rsidP="00C52F17">
      <w:pPr>
        <w:pStyle w:val="StandardWeb"/>
        <w:jc w:val="both"/>
        <w:rPr>
          <w:rFonts w:ascii="Bookman Old Style" w:hAnsi="Bookman Old Style" w:cs="Arial"/>
          <w:sz w:val="20"/>
        </w:rPr>
      </w:pPr>
    </w:p>
    <w:p w14:paraId="5C80D4DD" w14:textId="557316CC" w:rsidR="00E660BE" w:rsidRDefault="00E660BE" w:rsidP="00C52F17">
      <w:pPr>
        <w:pStyle w:val="StandardWeb"/>
        <w:jc w:val="both"/>
        <w:rPr>
          <w:rFonts w:ascii="Bookman Old Style" w:hAnsi="Bookman Old Style" w:cs="Arial"/>
          <w:sz w:val="20"/>
        </w:rPr>
      </w:pPr>
    </w:p>
    <w:p w14:paraId="3B3E7B42" w14:textId="77777777" w:rsidR="00E660BE" w:rsidRDefault="00E660BE" w:rsidP="00C52F17">
      <w:pPr>
        <w:pStyle w:val="StandardWeb"/>
        <w:jc w:val="both"/>
        <w:rPr>
          <w:rFonts w:ascii="Bookman Old Style" w:hAnsi="Bookman Old Style" w:cs="Arial"/>
          <w:sz w:val="20"/>
        </w:rPr>
      </w:pPr>
    </w:p>
    <w:p w14:paraId="1E75C1D1" w14:textId="77777777" w:rsidR="00C52F17" w:rsidRPr="00471564" w:rsidRDefault="00471564" w:rsidP="00C52F17">
      <w:pPr>
        <w:pStyle w:val="StandardWeb"/>
        <w:numPr>
          <w:ilvl w:val="0"/>
          <w:numId w:val="12"/>
        </w:numPr>
        <w:jc w:val="both"/>
        <w:rPr>
          <w:rFonts w:ascii="Bookman Old Style" w:hAnsi="Bookman Old Style" w:cs="Arial"/>
          <w:b/>
          <w:sz w:val="20"/>
        </w:rPr>
      </w:pPr>
      <w:r w:rsidRPr="00BB672D">
        <w:rPr>
          <w:rFonts w:ascii="Bookman Old Style" w:hAnsi="Bookman Old Style" w:cs="Arial"/>
          <w:b/>
          <w:sz w:val="20"/>
        </w:rPr>
        <w:lastRenderedPageBreak/>
        <w:t>RASHODI POSLOVANJA</w:t>
      </w:r>
    </w:p>
    <w:p w14:paraId="26993CDA" w14:textId="5B23E729" w:rsidR="00C52F17" w:rsidRDefault="00EF313B" w:rsidP="00C52F17">
      <w:pPr>
        <w:pStyle w:val="StandardWeb"/>
        <w:jc w:val="both"/>
        <w:rPr>
          <w:rFonts w:ascii="Bookman Old Style" w:hAnsi="Bookman Old Style" w:cs="Arial"/>
          <w:sz w:val="20"/>
        </w:rPr>
      </w:pPr>
      <w:r w:rsidRPr="00EF313B">
        <w:rPr>
          <w:noProof/>
        </w:rPr>
        <w:drawing>
          <wp:inline distT="0" distB="0" distL="0" distR="0" wp14:anchorId="5D962F0B" wp14:editId="2C8F61F6">
            <wp:extent cx="6553200" cy="8420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53200" cy="8420100"/>
                    </a:xfrm>
                    <a:prstGeom prst="rect">
                      <a:avLst/>
                    </a:prstGeom>
                    <a:noFill/>
                    <a:ln>
                      <a:noFill/>
                    </a:ln>
                  </pic:spPr>
                </pic:pic>
              </a:graphicData>
            </a:graphic>
          </wp:inline>
        </w:drawing>
      </w:r>
    </w:p>
    <w:p w14:paraId="5FC04D70" w14:textId="77777777" w:rsidR="00471564" w:rsidRPr="00C52F17" w:rsidRDefault="00471564" w:rsidP="00C52F17">
      <w:pPr>
        <w:pStyle w:val="StandardWeb"/>
        <w:jc w:val="both"/>
        <w:rPr>
          <w:rFonts w:ascii="Bookman Old Style" w:hAnsi="Bookman Old Style" w:cs="Arial"/>
          <w:sz w:val="20"/>
        </w:rPr>
      </w:pPr>
    </w:p>
    <w:p w14:paraId="6F679E25" w14:textId="77777777" w:rsidR="00C52F17" w:rsidRPr="00C52F17" w:rsidRDefault="00C52F17" w:rsidP="00C52F17">
      <w:pPr>
        <w:pStyle w:val="StandardWeb"/>
        <w:jc w:val="both"/>
        <w:rPr>
          <w:rFonts w:ascii="Bookman Old Style" w:hAnsi="Bookman Old Style" w:cs="Arial"/>
          <w:sz w:val="20"/>
        </w:rPr>
      </w:pPr>
    </w:p>
    <w:p w14:paraId="752AF72F" w14:textId="77777777" w:rsidR="000B30DB" w:rsidRPr="000B30DB" w:rsidRDefault="000B30DB" w:rsidP="00C52F17">
      <w:pPr>
        <w:pStyle w:val="StandardWeb"/>
        <w:jc w:val="both"/>
        <w:rPr>
          <w:rFonts w:ascii="Bookman Old Style" w:hAnsi="Bookman Old Style" w:cs="Arial"/>
          <w:sz w:val="20"/>
        </w:rPr>
      </w:pPr>
    </w:p>
    <w:p w14:paraId="0C59CF1F" w14:textId="77777777" w:rsidR="00886B02" w:rsidRDefault="00886B02" w:rsidP="00886B02">
      <w:pPr>
        <w:pStyle w:val="Naslov3"/>
        <w:rPr>
          <w:rFonts w:ascii="Bookman Old Style" w:eastAsia="Times New Roman" w:hAnsi="Bookman Old Style" w:cs="Arial"/>
          <w:color w:val="auto"/>
          <w:sz w:val="20"/>
          <w:szCs w:val="24"/>
          <w:lang w:eastAsia="hr-HR"/>
        </w:rPr>
      </w:pPr>
      <w:r w:rsidRPr="006B7654">
        <w:rPr>
          <w:rFonts w:ascii="Bookman Old Style" w:eastAsia="Times New Roman" w:hAnsi="Bookman Old Style" w:cs="Arial"/>
          <w:color w:val="auto"/>
          <w:sz w:val="20"/>
          <w:szCs w:val="24"/>
          <w:lang w:eastAsia="hr-HR"/>
        </w:rPr>
        <w:t>31 – Rashodi za zaposlene</w:t>
      </w:r>
    </w:p>
    <w:p w14:paraId="38F08520"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Rashodi za zaposlene ostvareni su u iznosu od 1.815.795,84 EUR, što predstavlja 47,43 % planiranih sredstava za 2026. godinu. U odnosu na isto razdoblje prethodne godine, kada su iznosili 1.932.138,24 EUR, ostvareni su u manjem iznosu, odnosno za 6,02 %.</w:t>
      </w:r>
    </w:p>
    <w:p w14:paraId="7E300093"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Najveći dio rashoda za zaposlene odnosi se na rashode za bruto plaće, koji su ostvareni u iznosu od 1.505.992,12 EUR. Od navedenog iznosa 1.490.948,04 EUR odnosi se na plaće za redovan rad, dok se 15.044,08 EUR odnosi na plaće za prekovremeni rad.</w:t>
      </w:r>
    </w:p>
    <w:p w14:paraId="12931372"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Ostali rashodi za zaposlene ostvareni su u iznosu od 60.240,73 EUR, što je za 8,82 % više u odnosu na isto razdoblje prethodne godine. Navedeni rashodi odnose se na isplate materijalnih prava zaposlenika sukladno važećim propisima i kolektivnim ugovorima.</w:t>
      </w:r>
    </w:p>
    <w:p w14:paraId="2F5DC2A0"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Doprinosi na plaće ostvareni su u iznosu od 249.562,99 EUR, odnosno 93,63 % ostvarenja iz istog razdoblja prethodne godine. Kretanje rashoda za doprinose izravno je povezano s ostvarenim rashodima za bruto plaće, budući da se obračunavaju na isplaćene plaće zaposlenika.</w:t>
      </w:r>
    </w:p>
    <w:p w14:paraId="77936979" w14:textId="77777777" w:rsidR="00886B02" w:rsidRDefault="00886B02" w:rsidP="00886B02">
      <w:pPr>
        <w:pStyle w:val="Naslov3"/>
        <w:rPr>
          <w:rFonts w:ascii="Bookman Old Style" w:eastAsia="Times New Roman" w:hAnsi="Bookman Old Style" w:cs="Arial"/>
          <w:color w:val="auto"/>
          <w:sz w:val="20"/>
          <w:szCs w:val="24"/>
          <w:lang w:eastAsia="hr-HR"/>
        </w:rPr>
      </w:pPr>
      <w:r w:rsidRPr="006B7654">
        <w:rPr>
          <w:rFonts w:ascii="Bookman Old Style" w:eastAsia="Times New Roman" w:hAnsi="Bookman Old Style" w:cs="Arial"/>
          <w:color w:val="auto"/>
          <w:sz w:val="20"/>
          <w:szCs w:val="24"/>
          <w:lang w:eastAsia="hr-HR"/>
        </w:rPr>
        <w:t>32 – Materijalni rashodi</w:t>
      </w:r>
    </w:p>
    <w:p w14:paraId="031C8CCB"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Materijalni rashodi ostvareni su u iznosu od 950.091,45 EUR, što predstavlja 55,47 % planiranih sredstava za 2026. godinu. U odnosu na isto razdoblje prethodne godine, kada su iznosili 609.547,07 EUR, ostvareni su u većem iznosu, odnosno za 55,87 %.</w:t>
      </w:r>
    </w:p>
    <w:p w14:paraId="7951FCF1"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Naknade troškova zaposlenima ostvarene su u iznosu od 60.673,40 EUR te su na razini ostvarenja iz istog razdoblja prethodne godine. Najveći dio odnosi se na naknade za prijevoz na posao i s posla u iznosu od 48.269,53 EUR, službena putovanja u iznosu od 9.060,29 EUR te stručno usavršavanje zaposlenika u iznosu od 3.048,58 EUR.</w:t>
      </w:r>
    </w:p>
    <w:p w14:paraId="5961A868"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Rashodi za materijal i energiju ostvareni su u iznosu od 51.866,28 EUR, što je za 14,83 % manje u odnosu na isto razdoblje prethodne godine. Najveći dio odnosi se na rashode za energiju u iznosu od 31.840,79 EUR te uredski i ostali materijal u iznosu od 15.082,96 EUR.</w:t>
      </w:r>
    </w:p>
    <w:p w14:paraId="12867C1E"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Rashodi za usluge ostvareni su u iznosu od 294.880,57 EUR, što predstavlja povećanje od 5,45 % u odnosu na isto razdoblje prethodne godine. Najznačajniji rashodi odnose se na usluge tekućeg i investicijskog održavanja (53.000,81 EUR), intelektualne i osobne usluge (51.410,26 EUR), zakupnine i najamnine (45.133,95 EUR), komunalne usluge (32.836,24 EUR) te ostale usluge (26.442,94 EUR). U odnosu na prethodnu godinu značajnije povećanje ostvareno je kod rashoda za zakupnine i najamnine, usluge tekućeg i investicijskog održavanja te ostale usluge.</w:t>
      </w:r>
    </w:p>
    <w:p w14:paraId="4C5458AC"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Naknade troškova osobama izvan radnog odnosa ostvarene su u iznosu od 152,31 EUR, što predstavlja znatno smanjenje u odnosu na isto razdoblje prethodne godine zbog manjeg angažmana osoba izvan radnog odnosa.</w:t>
      </w:r>
    </w:p>
    <w:p w14:paraId="5ADAAD27"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Rashodi za lijekove i potrošni medicinski materijal ostvareni su u iznosu od 518.706,84 EUR, od čega se 332.527,86 EUR odnosi na utrošak lijekova i potrošnog medicinskog materijala, dok se 186.178,98 EUR odnosi na otpis lijekova i potrošnog medicinskog materijala. Povećanje ove skupine rashoda najvećim je dijelom posljedica evidentiranja vrijednosti zaprimljenih i distribuiranih cjepiva sukladno Uputi Ministarstva financija o knjigovodstvenom evidentiranju nabave i distribucije cjepiva, koja se istodobno evidentiraju kao prihod i rashod te ne predstavljaju novčani tijek.</w:t>
      </w:r>
    </w:p>
    <w:p w14:paraId="123195E0"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Ostali nespomenuti rashodi poslovanja ostvareni su u iznosu od 23.812,05 EUR, što predstavlja povećanje od 87,60 % u odnosu na isto razdoblje prethodne godine. Povećanje se najvećim dijelom odnosi na rashode za rad povjerenstava, premije osiguranja te pristojbe i naknade.</w:t>
      </w:r>
    </w:p>
    <w:p w14:paraId="6FAEBB5E" w14:textId="77777777" w:rsidR="00886B02" w:rsidRDefault="00886B02" w:rsidP="00886B02">
      <w:pPr>
        <w:pStyle w:val="Naslov3"/>
        <w:rPr>
          <w:rFonts w:ascii="Bookman Old Style" w:eastAsia="Times New Roman" w:hAnsi="Bookman Old Style" w:cs="Arial"/>
          <w:color w:val="auto"/>
          <w:sz w:val="20"/>
          <w:szCs w:val="24"/>
          <w:lang w:eastAsia="hr-HR"/>
        </w:rPr>
      </w:pPr>
      <w:r w:rsidRPr="006B7654">
        <w:rPr>
          <w:rFonts w:ascii="Bookman Old Style" w:eastAsia="Times New Roman" w:hAnsi="Bookman Old Style" w:cs="Arial"/>
          <w:color w:val="auto"/>
          <w:sz w:val="20"/>
          <w:szCs w:val="24"/>
          <w:lang w:eastAsia="hr-HR"/>
        </w:rPr>
        <w:lastRenderedPageBreak/>
        <w:t>34 – Financijski rashodi</w:t>
      </w:r>
    </w:p>
    <w:p w14:paraId="6DE84253"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Financijski rashodi ostvareni su u iznosu od 2.792,99 EUR, što predstavlja 55,86 % planiranih sredstava za 2026. godinu. U odnosu na isto razdoblje prethodne godine, kada su iznosili 2.362,41 EUR, ostvareni su u većem iznosu, odnosno za 18,23 %.</w:t>
      </w:r>
    </w:p>
    <w:p w14:paraId="3B9DDBC6"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Ukupni financijski rashodi odnose se na ostale financijske rashode, od čega se najveći dio, u iznosu od 2.724,55 EUR, odnosi na bankarske usluge i usluge platnog prometa. U odnosu na isto razdoblje prethodne godine navedeni rashodi povećani su za 22,60 %, prvenstveno zbog većeg broja financijskih transakcija i povećanja naknada za platni promet.</w:t>
      </w:r>
    </w:p>
    <w:p w14:paraId="32051B97" w14:textId="77777777" w:rsidR="00EF313B" w:rsidRPr="00EF313B" w:rsidRDefault="00EF313B" w:rsidP="00EF313B">
      <w:pPr>
        <w:pStyle w:val="StandardWeb"/>
        <w:jc w:val="both"/>
        <w:rPr>
          <w:rFonts w:ascii="Bookman Old Style" w:hAnsi="Bookman Old Style" w:cs="Arial"/>
          <w:bCs/>
          <w:sz w:val="20"/>
        </w:rPr>
      </w:pPr>
      <w:r w:rsidRPr="00EF313B">
        <w:rPr>
          <w:rFonts w:ascii="Bookman Old Style" w:hAnsi="Bookman Old Style" w:cs="Arial"/>
          <w:bCs/>
          <w:sz w:val="20"/>
        </w:rPr>
        <w:t>Zatezne kamate ostvarene su u iznosu od 68,44 EUR, što predstavlja smanjenje od 51,16 % u odnosu na isto razdoblje prethodne godine te upućuje na urednije podmirivanje dospjelih obveza tijekom izvještajnog razdoblja.</w:t>
      </w:r>
    </w:p>
    <w:p w14:paraId="513A2B02" w14:textId="77777777" w:rsidR="00886B02" w:rsidRPr="006B7654" w:rsidRDefault="00886B02" w:rsidP="00886B02">
      <w:pPr>
        <w:pStyle w:val="Naslov3"/>
        <w:rPr>
          <w:rFonts w:ascii="Bookman Old Style" w:eastAsia="Times New Roman" w:hAnsi="Bookman Old Style" w:cs="Arial"/>
          <w:b w:val="0"/>
          <w:color w:val="auto"/>
          <w:sz w:val="20"/>
          <w:szCs w:val="24"/>
          <w:lang w:eastAsia="hr-HR"/>
        </w:rPr>
      </w:pPr>
      <w:r w:rsidRPr="006B7654">
        <w:rPr>
          <w:rFonts w:ascii="Bookman Old Style" w:eastAsia="Times New Roman" w:hAnsi="Bookman Old Style" w:cs="Arial"/>
          <w:color w:val="auto"/>
          <w:sz w:val="20"/>
          <w:szCs w:val="24"/>
          <w:lang w:eastAsia="hr-HR"/>
        </w:rPr>
        <w:t>42 – Nabava proizvedene dugotrajne imovine</w:t>
      </w:r>
    </w:p>
    <w:p w14:paraId="7902DD84" w14:textId="59B34277" w:rsidR="00AF534E" w:rsidRDefault="00AF534E" w:rsidP="00AF534E">
      <w:pPr>
        <w:pStyle w:val="StandardWeb"/>
        <w:jc w:val="both"/>
        <w:rPr>
          <w:rFonts w:ascii="Bookman Old Style" w:hAnsi="Bookman Old Style" w:cs="Arial"/>
          <w:bCs/>
          <w:sz w:val="20"/>
        </w:rPr>
      </w:pPr>
      <w:r w:rsidRPr="00AF534E">
        <w:rPr>
          <w:rFonts w:ascii="Bookman Old Style" w:hAnsi="Bookman Old Style" w:cs="Arial"/>
          <w:bCs/>
          <w:sz w:val="20"/>
        </w:rPr>
        <w:t>Rashodi za postrojenja i opremu u razdoblju od 1. siječnja do 30. lipnja 2026. godine ostvareni su u iznosu od 108.233,49 EUR, dok su u istom razdoblju prethodne godine iznosili 8.565,69 EUR, što predstavlja povećanje od 1.163,57 %.</w:t>
      </w:r>
    </w:p>
    <w:p w14:paraId="507046D4" w14:textId="562C353A" w:rsidR="00AF534E" w:rsidRPr="00AF534E" w:rsidRDefault="00AF534E" w:rsidP="00AF534E">
      <w:pPr>
        <w:pStyle w:val="StandardWeb"/>
        <w:jc w:val="both"/>
        <w:rPr>
          <w:rFonts w:ascii="Bookman Old Style" w:hAnsi="Bookman Old Style" w:cs="Arial"/>
          <w:bCs/>
          <w:sz w:val="20"/>
        </w:rPr>
      </w:pPr>
      <w:r w:rsidRPr="00AF534E">
        <w:rPr>
          <w:rFonts w:ascii="Bookman Old Style" w:hAnsi="Bookman Old Style" w:cs="Arial"/>
          <w:bCs/>
          <w:sz w:val="20"/>
        </w:rPr>
        <w:t>Najveći dio ulaganja odnosi se na nabavu medicinske i laboratorijske opreme u iznosu od 84.804,50 EUR, koja je nabavljena radi unaprjeđenja dijagnostičkih i laboratorijskih kapaciteta te osiguravanja kvalitetnijeg i učinkovitijeg obavljanja zdravstvene djelatnosti. Za nabavu uredske opreme i namještaja utrošeno je 17.171,69 EUR, čime su unaprijeđeni uvjeti rada pojedinih ustrojstvenih jedinica Zavoda. Nadalje, za opremu za održavanje i zaštitu utrošeno je 4.977,40 EUR, dok su sredstva u iznosu od 1.259,90 EUR utrošena za nabavu instrumenata, uređaja i strojeva, a 20,00 EUR za nabavu komunikacijske opreme.</w:t>
      </w:r>
    </w:p>
    <w:p w14:paraId="7E5A20B5" w14:textId="77777777" w:rsidR="00AF534E" w:rsidRPr="00AF534E" w:rsidRDefault="00AF534E" w:rsidP="00AF534E">
      <w:pPr>
        <w:pStyle w:val="StandardWeb"/>
        <w:jc w:val="both"/>
        <w:rPr>
          <w:rFonts w:ascii="Bookman Old Style" w:hAnsi="Bookman Old Style" w:cs="Arial"/>
          <w:bCs/>
          <w:sz w:val="20"/>
        </w:rPr>
      </w:pPr>
      <w:r w:rsidRPr="00AF534E">
        <w:rPr>
          <w:rFonts w:ascii="Bookman Old Style" w:hAnsi="Bookman Old Style" w:cs="Arial"/>
          <w:bCs/>
          <w:sz w:val="20"/>
        </w:rPr>
        <w:t>Značajno povećanje rashoda u odnosu na isto razdoblje prethodne godine rezultat je planiranih ulaganja u modernizaciju opreme, prvenstveno medicinske i laboratorijske, s ciljem održavanja kvalitete pružanja zdravstvenih usluga, povećanja učinkovitosti rada te zamjene dotrajale opreme.</w:t>
      </w:r>
    </w:p>
    <w:p w14:paraId="62A5BCF5" w14:textId="77777777" w:rsidR="00AF534E" w:rsidRPr="00AF534E" w:rsidRDefault="00AF534E" w:rsidP="00AF534E">
      <w:pPr>
        <w:pStyle w:val="StandardWeb"/>
        <w:jc w:val="both"/>
        <w:rPr>
          <w:rFonts w:ascii="Bookman Old Style" w:hAnsi="Bookman Old Style" w:cs="Arial"/>
          <w:bCs/>
          <w:sz w:val="20"/>
        </w:rPr>
      </w:pPr>
      <w:r w:rsidRPr="00AF534E">
        <w:rPr>
          <w:rFonts w:ascii="Bookman Old Style" w:hAnsi="Bookman Old Style" w:cs="Arial"/>
          <w:bCs/>
          <w:sz w:val="20"/>
        </w:rPr>
        <w:t>Rashodi za prijevozna sredstva (šifra 4231) ostvareni su u iznosu od 36.755,04 EUR, dok su u istom razdoblju prethodne godine iznosili 18.349,63 EUR, što predstavlja povećanje od 100,30 %. Rashodi se odnose na nabavu službenog vozila za potrebe redovitog poslovanja Zavoda, prvenstveno za obavljanje terenskih aktivnosti, dostavu uzoraka te provedbu javnozdravstvenih programa na području županije. Nabavom vozila osigurani su kvalitetniji uvjeti za rad na terenu, veća operativna učinkovitost te pouzdanije obavljanje djelatnosti Zavoda.</w:t>
      </w:r>
    </w:p>
    <w:p w14:paraId="1058E89C" w14:textId="77777777" w:rsidR="00886B02" w:rsidRDefault="00886B02" w:rsidP="00886B02">
      <w:pPr>
        <w:rPr>
          <w:rFonts w:ascii="Bookman Old Style" w:hAnsi="Bookman Old Style" w:cs="Arial"/>
          <w:b/>
          <w:bCs/>
          <w:sz w:val="20"/>
          <w:lang w:eastAsia="hr-HR"/>
        </w:rPr>
      </w:pPr>
      <w:r w:rsidRPr="00886B02">
        <w:rPr>
          <w:rFonts w:ascii="Bookman Old Style" w:hAnsi="Bookman Old Style" w:cs="Arial"/>
          <w:b/>
          <w:bCs/>
          <w:sz w:val="20"/>
          <w:lang w:eastAsia="hr-HR"/>
        </w:rPr>
        <w:t>45 - Rashodi za dodatna ulaganja na nefinancijskoj imovini</w:t>
      </w:r>
    </w:p>
    <w:p w14:paraId="2CD3A84B" w14:textId="77777777" w:rsidR="00AF534E" w:rsidRPr="00AF534E" w:rsidRDefault="00AF534E" w:rsidP="00AF534E">
      <w:pPr>
        <w:pStyle w:val="StandardWeb"/>
        <w:jc w:val="both"/>
        <w:rPr>
          <w:rFonts w:ascii="Bookman Old Style" w:hAnsi="Bookman Old Style" w:cs="Arial"/>
          <w:bCs/>
          <w:sz w:val="20"/>
        </w:rPr>
      </w:pPr>
      <w:r w:rsidRPr="00AF534E">
        <w:rPr>
          <w:rFonts w:ascii="Bookman Old Style" w:hAnsi="Bookman Old Style" w:cs="Arial"/>
          <w:bCs/>
          <w:sz w:val="20"/>
        </w:rPr>
        <w:t>Rashodi za dodatna ulaganja na nefinancijskoj imovini u razdoblju od 1. siječnja do 30. lipnja 2026. godine nisu ostvareni, dok su u istom razdoblju prethodne godine iznosili 20.093,88 EUR.</w:t>
      </w:r>
    </w:p>
    <w:p w14:paraId="4EEC0203" w14:textId="77777777" w:rsidR="00AF534E" w:rsidRPr="00AF534E" w:rsidRDefault="00AF534E" w:rsidP="00AF534E">
      <w:pPr>
        <w:pStyle w:val="StandardWeb"/>
        <w:jc w:val="both"/>
        <w:rPr>
          <w:rFonts w:ascii="Bookman Old Style" w:hAnsi="Bookman Old Style" w:cs="Arial"/>
          <w:bCs/>
          <w:sz w:val="20"/>
        </w:rPr>
      </w:pPr>
      <w:r w:rsidRPr="00AF534E">
        <w:rPr>
          <w:rFonts w:ascii="Bookman Old Style" w:hAnsi="Bookman Old Style" w:cs="Arial"/>
          <w:bCs/>
          <w:sz w:val="20"/>
        </w:rPr>
        <w:t>U izvještajnom razdoblju nisu provedena dodatna ulaganja na građevinskim objektima niti na ostaloj nefinancijskoj imovini. U odnosu na isto razdoblje prethodne godine evidentirano je smanjenje rashoda budući da su tijekom 2025. godine provedena ulaganja u građevinske objekte, dok u prvom polugodištu 2026. godine takva ulaganja nisu realizirana.</w:t>
      </w:r>
    </w:p>
    <w:p w14:paraId="6D435E68" w14:textId="77777777" w:rsidR="00421404" w:rsidRDefault="00421404" w:rsidP="00886B02">
      <w:pPr>
        <w:pStyle w:val="StandardWeb"/>
        <w:jc w:val="both"/>
        <w:rPr>
          <w:rFonts w:ascii="Bookman Old Style" w:hAnsi="Bookman Old Style" w:cs="Arial"/>
          <w:sz w:val="20"/>
        </w:rPr>
      </w:pPr>
    </w:p>
    <w:p w14:paraId="4C899AB7" w14:textId="77777777" w:rsidR="000E33F6" w:rsidRDefault="000E33F6" w:rsidP="00886B02">
      <w:pPr>
        <w:pStyle w:val="StandardWeb"/>
        <w:jc w:val="both"/>
        <w:rPr>
          <w:rFonts w:ascii="Bookman Old Style" w:hAnsi="Bookman Old Style" w:cs="Arial"/>
          <w:sz w:val="20"/>
        </w:rPr>
      </w:pPr>
    </w:p>
    <w:p w14:paraId="68F70170" w14:textId="2CB21379" w:rsidR="00421404" w:rsidRDefault="00421404" w:rsidP="00886B02">
      <w:pPr>
        <w:pStyle w:val="StandardWeb"/>
        <w:jc w:val="both"/>
        <w:rPr>
          <w:rFonts w:ascii="Bookman Old Style" w:hAnsi="Bookman Old Style" w:cs="Arial"/>
          <w:sz w:val="20"/>
        </w:rPr>
      </w:pPr>
    </w:p>
    <w:p w14:paraId="46A1C101" w14:textId="77777777" w:rsidR="0037393A" w:rsidRDefault="0037393A" w:rsidP="00886B02">
      <w:pPr>
        <w:pStyle w:val="StandardWeb"/>
        <w:jc w:val="both"/>
        <w:rPr>
          <w:rFonts w:ascii="Bookman Old Style" w:hAnsi="Bookman Old Style" w:cs="Arial"/>
          <w:sz w:val="20"/>
        </w:rPr>
      </w:pPr>
    </w:p>
    <w:p w14:paraId="66FF06F1" w14:textId="77777777" w:rsidR="00421404" w:rsidRPr="00886B02" w:rsidRDefault="00421404" w:rsidP="00886B02">
      <w:pPr>
        <w:pStyle w:val="StandardWeb"/>
        <w:jc w:val="both"/>
        <w:rPr>
          <w:rFonts w:ascii="Bookman Old Style" w:hAnsi="Bookman Old Style" w:cs="Arial"/>
          <w:sz w:val="20"/>
        </w:rPr>
      </w:pPr>
    </w:p>
    <w:p w14:paraId="60BA42E9" w14:textId="77777777" w:rsidR="00886B02" w:rsidRPr="00E660BE" w:rsidRDefault="00886B02" w:rsidP="00886B02">
      <w:pPr>
        <w:pStyle w:val="StandardWeb"/>
        <w:numPr>
          <w:ilvl w:val="0"/>
          <w:numId w:val="13"/>
        </w:numPr>
        <w:jc w:val="both"/>
        <w:rPr>
          <w:rFonts w:ascii="Bookman Old Style" w:hAnsi="Bookman Old Style" w:cs="Arial"/>
          <w:b/>
          <w:bCs/>
          <w:sz w:val="22"/>
          <w:szCs w:val="22"/>
        </w:rPr>
      </w:pPr>
      <w:r w:rsidRPr="00E660BE">
        <w:rPr>
          <w:rFonts w:ascii="Bookman Old Style" w:hAnsi="Bookman Old Style" w:cs="Arial"/>
          <w:b/>
          <w:bCs/>
          <w:sz w:val="22"/>
          <w:szCs w:val="22"/>
        </w:rPr>
        <w:lastRenderedPageBreak/>
        <w:t>IZVJEŠTAJ O PRIHODIMA I RASHODIMA PREMA IZVORIMA FINANCIRANJA</w:t>
      </w:r>
    </w:p>
    <w:p w14:paraId="64A5CC0B" w14:textId="41A1A5AF" w:rsidR="00886B02" w:rsidRDefault="0037393A" w:rsidP="00886B02">
      <w:pPr>
        <w:pStyle w:val="StandardWeb"/>
        <w:jc w:val="both"/>
        <w:rPr>
          <w:rFonts w:ascii="Bookman Old Style" w:hAnsi="Bookman Old Style" w:cs="Arial"/>
          <w:sz w:val="20"/>
        </w:rPr>
      </w:pPr>
      <w:r w:rsidRPr="0037393A">
        <w:rPr>
          <w:noProof/>
        </w:rPr>
        <w:drawing>
          <wp:inline distT="0" distB="0" distL="0" distR="0" wp14:anchorId="6CFB26BC" wp14:editId="51C304F2">
            <wp:extent cx="6146800" cy="3781425"/>
            <wp:effectExtent l="0" t="0" r="635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6800" cy="3781425"/>
                    </a:xfrm>
                    <a:prstGeom prst="rect">
                      <a:avLst/>
                    </a:prstGeom>
                    <a:noFill/>
                    <a:ln>
                      <a:noFill/>
                    </a:ln>
                  </pic:spPr>
                </pic:pic>
              </a:graphicData>
            </a:graphic>
          </wp:inline>
        </w:drawing>
      </w:r>
    </w:p>
    <w:p w14:paraId="715E0862" w14:textId="3B2B1CC7" w:rsidR="0037393A" w:rsidRPr="00886B02" w:rsidRDefault="0037393A" w:rsidP="00886B02">
      <w:pPr>
        <w:pStyle w:val="StandardWeb"/>
        <w:jc w:val="both"/>
        <w:rPr>
          <w:rFonts w:ascii="Bookman Old Style" w:hAnsi="Bookman Old Style" w:cs="Arial"/>
          <w:sz w:val="20"/>
        </w:rPr>
      </w:pPr>
      <w:r w:rsidRPr="0037393A">
        <w:rPr>
          <w:noProof/>
        </w:rPr>
        <w:drawing>
          <wp:inline distT="0" distB="0" distL="0" distR="0" wp14:anchorId="308F3717" wp14:editId="73E32695">
            <wp:extent cx="6146800" cy="379730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6800" cy="3797300"/>
                    </a:xfrm>
                    <a:prstGeom prst="rect">
                      <a:avLst/>
                    </a:prstGeom>
                    <a:noFill/>
                    <a:ln>
                      <a:noFill/>
                    </a:ln>
                  </pic:spPr>
                </pic:pic>
              </a:graphicData>
            </a:graphic>
          </wp:inline>
        </w:drawing>
      </w:r>
    </w:p>
    <w:p w14:paraId="3BE58672" w14:textId="77777777" w:rsidR="006C5ADC" w:rsidRPr="006C5ADC" w:rsidRDefault="006C5ADC" w:rsidP="006C5ADC">
      <w:pPr>
        <w:pStyle w:val="StandardWeb"/>
        <w:jc w:val="both"/>
        <w:rPr>
          <w:rFonts w:ascii="Bookman Old Style" w:hAnsi="Bookman Old Style" w:cs="Arial"/>
          <w:b/>
          <w:sz w:val="20"/>
        </w:rPr>
      </w:pPr>
      <w:r w:rsidRPr="006C5ADC">
        <w:rPr>
          <w:rFonts w:ascii="Bookman Old Style" w:hAnsi="Bookman Old Style" w:cs="Arial"/>
          <w:b/>
          <w:sz w:val="20"/>
        </w:rPr>
        <w:t xml:space="preserve">Izvor 11 – Opći prihodi i primici </w:t>
      </w:r>
    </w:p>
    <w:p w14:paraId="27C88655" w14:textId="77777777" w:rsidR="0037393A" w:rsidRPr="0037393A" w:rsidRDefault="0037393A" w:rsidP="0037393A">
      <w:pPr>
        <w:pStyle w:val="StandardWeb"/>
        <w:jc w:val="both"/>
        <w:rPr>
          <w:rFonts w:ascii="Bookman Old Style" w:hAnsi="Bookman Old Style" w:cs="Arial"/>
          <w:sz w:val="20"/>
        </w:rPr>
      </w:pPr>
      <w:r w:rsidRPr="0037393A">
        <w:rPr>
          <w:rFonts w:ascii="Bookman Old Style" w:hAnsi="Bookman Old Style" w:cs="Arial"/>
          <w:sz w:val="20"/>
        </w:rPr>
        <w:t>Rashodi financirani iz izvora 11 – Opći prihodi i primici ostvareni su u iznosu od 190.661,13 EUR, što predstavlja 50,07 % planiranih sredstava za 2026. godinu. U odnosu na isto razdoblje prethodne godine, kada su iznosili 11.200,08 EUR, ostvareni su u znatno većem iznosu.</w:t>
      </w:r>
    </w:p>
    <w:p w14:paraId="52D64564" w14:textId="77777777" w:rsidR="0037393A" w:rsidRPr="0037393A" w:rsidRDefault="0037393A" w:rsidP="0037393A">
      <w:pPr>
        <w:pStyle w:val="StandardWeb"/>
        <w:jc w:val="both"/>
        <w:rPr>
          <w:rFonts w:ascii="Bookman Old Style" w:hAnsi="Bookman Old Style" w:cs="Arial"/>
          <w:sz w:val="20"/>
        </w:rPr>
      </w:pPr>
      <w:r w:rsidRPr="0037393A">
        <w:rPr>
          <w:rFonts w:ascii="Bookman Old Style" w:hAnsi="Bookman Old Style" w:cs="Arial"/>
          <w:sz w:val="20"/>
        </w:rPr>
        <w:lastRenderedPageBreak/>
        <w:t>Navedena sredstva odnose se na sredstva osnivača namijenjena poboljšanju standarda zdravstvene ustanove, a utrošena su za podmirenje dospjelih obveza prema dobavljačima te financiranje rashoda za plaće. Značajno povećanje u odnosu na isto razdoblje prethodne godine posljedica je povećanog financiranja od strane osnivača radi osiguravanja redovitog poslovanja i održavanja financijske stabilnosti Zavoda.</w:t>
      </w:r>
    </w:p>
    <w:p w14:paraId="5880FBB8" w14:textId="77777777" w:rsidR="006C5ADC" w:rsidRPr="006C5ADC" w:rsidRDefault="006C5ADC" w:rsidP="006C5ADC">
      <w:pPr>
        <w:pStyle w:val="StandardWeb"/>
        <w:jc w:val="both"/>
        <w:rPr>
          <w:rFonts w:ascii="Bookman Old Style" w:hAnsi="Bookman Old Style" w:cs="Arial"/>
          <w:b/>
          <w:sz w:val="20"/>
        </w:rPr>
      </w:pPr>
      <w:r w:rsidRPr="006C5ADC">
        <w:rPr>
          <w:rFonts w:ascii="Bookman Old Style" w:hAnsi="Bookman Old Style" w:cs="Arial"/>
          <w:b/>
          <w:sz w:val="20"/>
        </w:rPr>
        <w:t>Izvor 32 – Vlastiti prihodi</w:t>
      </w:r>
    </w:p>
    <w:p w14:paraId="5CD5431E"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Ukupno raspoloživa sredstva izvora 32 – Vlastiti prihodi, koja obuhvaćaju ostvarene vlastite prihode i planirani višak iz prethodnih godina, planirana su u iznosu od 1.987.330,85 EUR. U izvještajnom razdoblju ostvareni su vlastiti prihodi u iznosu od 930.511,52 EUR, što predstavlja 50,00 % planiranih prihoda. U odnosu na isto razdoblje prethodne godine, kada su iznosili 723.175,88 EUR, ostvareni su u većem iznosu, odnosno za 28,67 %. Vlastiti prihodi ostvaruju se obavljanjem redovne djelatnosti Zavoda, odnosno pružanjem zdravstvenih i ostalih usluga fizičkim i pravnim osobama.</w:t>
      </w:r>
    </w:p>
    <w:p w14:paraId="7C7CC517"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Rashodi financirani iz ovog izvora ostvareni su u iznosu od 913.959,69 EUR, što predstavlja 45,99 % ukupno planiranih sredstava ovog izvora, odnosno 49,99 % planiranih tekućih vlastitih prihoda.</w:t>
      </w:r>
    </w:p>
    <w:p w14:paraId="59A1F279"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Planirani višak vlastitih prihoda iz prethodnih godina u iznosu od 158.930,85 EUR u izvještajnom razdoblju nije korišten, zbog čega je razlika između ostvarenih prihoda i rashoda financiranih iz tekućih vlastitih prihoda iznosila 16.551,83 EUR. Navedena sredstva zajedno s prenesenim viškom koristit će se za financiranje rashoda u nastavku proračunske godine, sukladno dinamici realizacije planiranih aktivnosti i kapitalnih ulaganja.</w:t>
      </w:r>
    </w:p>
    <w:p w14:paraId="76DF3E4F" w14:textId="77777777" w:rsidR="006C5ADC" w:rsidRPr="006C5ADC" w:rsidRDefault="006C5ADC" w:rsidP="006C5ADC">
      <w:pPr>
        <w:pStyle w:val="StandardWeb"/>
        <w:jc w:val="both"/>
        <w:rPr>
          <w:rFonts w:ascii="Bookman Old Style" w:hAnsi="Bookman Old Style" w:cs="Arial"/>
          <w:b/>
          <w:sz w:val="20"/>
        </w:rPr>
      </w:pPr>
      <w:r w:rsidRPr="006C5ADC">
        <w:rPr>
          <w:rFonts w:ascii="Bookman Old Style" w:hAnsi="Bookman Old Style" w:cs="Arial"/>
          <w:b/>
          <w:sz w:val="20"/>
        </w:rPr>
        <w:t xml:space="preserve">Izvor 43 – Prihodi za posebne namjene </w:t>
      </w:r>
    </w:p>
    <w:p w14:paraId="5EC19051" w14:textId="77777777" w:rsidR="0037393A" w:rsidRPr="0037393A" w:rsidRDefault="0037393A" w:rsidP="0037393A">
      <w:pPr>
        <w:pStyle w:val="StandardWeb"/>
        <w:jc w:val="both"/>
        <w:rPr>
          <w:rFonts w:ascii="Bookman Old Style" w:hAnsi="Bookman Old Style" w:cs="Arial"/>
          <w:sz w:val="20"/>
        </w:rPr>
      </w:pPr>
      <w:r w:rsidRPr="0037393A">
        <w:rPr>
          <w:rFonts w:ascii="Bookman Old Style" w:hAnsi="Bookman Old Style" w:cs="Arial"/>
          <w:sz w:val="20"/>
        </w:rPr>
        <w:t>Prihodi iz izvora 43 – Prihodi za posebne namjene ostvareni su u iznosu od 1.384.957,58 EUR, što predstavlja 47,89 % planiranih prihoda. U odnosu na isto razdoblje prethodne godine, kada su iznosili 1.357.882,59 EUR, ostvareni su u većem iznosu, odnosno za 1,99 %.</w:t>
      </w:r>
    </w:p>
    <w:p w14:paraId="42CA6E3C" w14:textId="77777777" w:rsidR="0037393A" w:rsidRPr="0037393A" w:rsidRDefault="0037393A" w:rsidP="0037393A">
      <w:pPr>
        <w:pStyle w:val="StandardWeb"/>
        <w:jc w:val="both"/>
        <w:rPr>
          <w:rFonts w:ascii="Bookman Old Style" w:hAnsi="Bookman Old Style" w:cs="Arial"/>
          <w:sz w:val="20"/>
        </w:rPr>
      </w:pPr>
      <w:r w:rsidRPr="0037393A">
        <w:rPr>
          <w:rFonts w:ascii="Bookman Old Style" w:hAnsi="Bookman Old Style" w:cs="Arial"/>
          <w:sz w:val="20"/>
        </w:rPr>
        <w:t>Prihodi ovog izvora odnose se na sredstva ostvarena temeljem ugovora s Hrvatskim zavodom za zdravstveno osiguranje (HZZO) za obavljanje zdravstvene djelatnosti te na prihode od dopunskog zdravstvenog osiguranja, participacija pacijenata i naknada koje podmiruju osiguravajuća društva.</w:t>
      </w:r>
    </w:p>
    <w:p w14:paraId="6AF3C278" w14:textId="77777777" w:rsidR="0037393A" w:rsidRPr="0037393A" w:rsidRDefault="0037393A" w:rsidP="0037393A">
      <w:pPr>
        <w:pStyle w:val="StandardWeb"/>
        <w:jc w:val="both"/>
        <w:rPr>
          <w:rFonts w:ascii="Bookman Old Style" w:hAnsi="Bookman Old Style" w:cs="Arial"/>
          <w:sz w:val="20"/>
        </w:rPr>
      </w:pPr>
      <w:r w:rsidRPr="0037393A">
        <w:rPr>
          <w:rFonts w:ascii="Bookman Old Style" w:hAnsi="Bookman Old Style" w:cs="Arial"/>
          <w:sz w:val="20"/>
        </w:rPr>
        <w:t>Rashodi financirani iz ovog izvora ostvareni su u iznosu od 1.384.957,58 EUR, što predstavlja 47,89 % planiranih sredstava. Ostvarena sredstva korištena su za financiranje redovnog obavljanja zdravstvene djelatnosti Zavoda, odnosno za podmirenje rashoda potrebnih za pružanje zdravstvenih usluga, te su prihodi i rashodi ovog izvora u izvještajnom razdoblju uravnoteženi.</w:t>
      </w:r>
    </w:p>
    <w:p w14:paraId="09CAA9E5" w14:textId="77777777" w:rsidR="006C5ADC" w:rsidRPr="006C5ADC" w:rsidRDefault="006C5ADC" w:rsidP="006C5ADC">
      <w:pPr>
        <w:pStyle w:val="StandardWeb"/>
        <w:jc w:val="both"/>
        <w:rPr>
          <w:rFonts w:ascii="Bookman Old Style" w:hAnsi="Bookman Old Style" w:cs="Arial"/>
          <w:b/>
          <w:sz w:val="20"/>
        </w:rPr>
      </w:pPr>
      <w:r w:rsidRPr="006C5ADC">
        <w:rPr>
          <w:rFonts w:ascii="Bookman Old Style" w:hAnsi="Bookman Old Style" w:cs="Arial"/>
          <w:b/>
          <w:sz w:val="20"/>
        </w:rPr>
        <w:t xml:space="preserve">Izvor 44 – Decentralizirana sredstva </w:t>
      </w:r>
    </w:p>
    <w:p w14:paraId="32C45825" w14:textId="77777777" w:rsidR="0037393A" w:rsidRPr="0037393A" w:rsidRDefault="0037393A" w:rsidP="0037393A">
      <w:pPr>
        <w:pStyle w:val="StandardWeb"/>
        <w:jc w:val="both"/>
        <w:rPr>
          <w:rFonts w:ascii="Bookman Old Style" w:hAnsi="Bookman Old Style" w:cs="Arial"/>
          <w:sz w:val="20"/>
        </w:rPr>
      </w:pPr>
      <w:r w:rsidRPr="0037393A">
        <w:rPr>
          <w:rFonts w:ascii="Bookman Old Style" w:hAnsi="Bookman Old Style" w:cs="Arial"/>
          <w:sz w:val="20"/>
        </w:rPr>
        <w:t>Prihodi iz izvora 44 – Decentralizirana sredstva ostvareni su u iznosu od 35.000,00 EUR, što predstavlja 51,47 % planiranih prihoda. U odnosu na isto razdoblje prethodne godine, kada su iznosili 16.251,42 EUR, ostvareni su u većem iznosu, odnosno za 115,37 %.</w:t>
      </w:r>
    </w:p>
    <w:p w14:paraId="31763F89" w14:textId="77777777" w:rsidR="0037393A" w:rsidRPr="0037393A" w:rsidRDefault="0037393A" w:rsidP="0037393A">
      <w:pPr>
        <w:pStyle w:val="StandardWeb"/>
        <w:jc w:val="both"/>
        <w:rPr>
          <w:rFonts w:ascii="Bookman Old Style" w:hAnsi="Bookman Old Style" w:cs="Arial"/>
          <w:sz w:val="20"/>
        </w:rPr>
      </w:pPr>
      <w:r w:rsidRPr="0037393A">
        <w:rPr>
          <w:rFonts w:ascii="Bookman Old Style" w:hAnsi="Bookman Old Style" w:cs="Arial"/>
          <w:sz w:val="20"/>
        </w:rPr>
        <w:t>Ostvarena sredstva odnose se na decentralizirana sredstva doznačena iz proračuna osnivača za financiranje nabave nefinancijske imovine, sukladno utvrđenoj namjeni.</w:t>
      </w:r>
    </w:p>
    <w:p w14:paraId="2070382C" w14:textId="77777777" w:rsidR="0037393A" w:rsidRPr="0037393A" w:rsidRDefault="0037393A" w:rsidP="0037393A">
      <w:pPr>
        <w:pStyle w:val="StandardWeb"/>
        <w:jc w:val="both"/>
        <w:rPr>
          <w:rFonts w:ascii="Bookman Old Style" w:hAnsi="Bookman Old Style" w:cs="Arial"/>
          <w:sz w:val="20"/>
        </w:rPr>
      </w:pPr>
      <w:r w:rsidRPr="0037393A">
        <w:rPr>
          <w:rFonts w:ascii="Bookman Old Style" w:hAnsi="Bookman Old Style" w:cs="Arial"/>
          <w:sz w:val="20"/>
        </w:rPr>
        <w:t>Rashodi financirani iz ovog izvora ostvareni su u istom iznosu od 35.000,00 EUR, što predstavlja 51,47 % planiranih sredstava. Ostvarena sredstva u cijelosti su utrošena za planiranu namjenu, dok planirana decentralizirana prenesena sredstva u iznosu od 2.139,63 EUR u izvještajnom razdoblju nisu korištena.</w:t>
      </w:r>
    </w:p>
    <w:p w14:paraId="5BA55791" w14:textId="34838FC2" w:rsidR="006C5ADC" w:rsidRPr="006C5ADC" w:rsidRDefault="006C5ADC" w:rsidP="006C5ADC">
      <w:pPr>
        <w:pStyle w:val="StandardWeb"/>
        <w:jc w:val="both"/>
        <w:rPr>
          <w:rFonts w:ascii="Bookman Old Style" w:hAnsi="Bookman Old Style" w:cs="Arial"/>
          <w:b/>
          <w:sz w:val="20"/>
        </w:rPr>
      </w:pPr>
      <w:r w:rsidRPr="006C5ADC">
        <w:rPr>
          <w:rFonts w:ascii="Bookman Old Style" w:hAnsi="Bookman Old Style" w:cs="Arial"/>
          <w:b/>
          <w:sz w:val="20"/>
        </w:rPr>
        <w:t>Izvor 5</w:t>
      </w:r>
      <w:r w:rsidR="00E660BE">
        <w:rPr>
          <w:rFonts w:ascii="Bookman Old Style" w:hAnsi="Bookman Old Style" w:cs="Arial"/>
          <w:b/>
          <w:sz w:val="20"/>
        </w:rPr>
        <w:t>2</w:t>
      </w:r>
      <w:r w:rsidRPr="006C5ADC">
        <w:rPr>
          <w:rFonts w:ascii="Bookman Old Style" w:hAnsi="Bookman Old Style" w:cs="Arial"/>
          <w:b/>
          <w:sz w:val="20"/>
        </w:rPr>
        <w:t xml:space="preserve"> – Ostale pomoći </w:t>
      </w:r>
    </w:p>
    <w:p w14:paraId="14E79843" w14:textId="77777777" w:rsidR="00E660BE" w:rsidRPr="00E660BE" w:rsidRDefault="00E660BE" w:rsidP="00E660BE">
      <w:pPr>
        <w:pStyle w:val="StandardWeb"/>
        <w:jc w:val="both"/>
        <w:rPr>
          <w:rFonts w:ascii="Bookman Old Style" w:hAnsi="Bookman Old Style" w:cs="Arial"/>
          <w:sz w:val="20"/>
        </w:rPr>
      </w:pPr>
      <w:r w:rsidRPr="00E660BE">
        <w:rPr>
          <w:rFonts w:ascii="Bookman Old Style" w:hAnsi="Bookman Old Style" w:cs="Arial"/>
          <w:sz w:val="20"/>
        </w:rPr>
        <w:t xml:space="preserve">Ukupno raspoloživa sredstva izvora 52 – Ostale pomoći, koja obuhvaćaju ostvarene pomoći i preneseni višak iz prethodnih godina, planirana su u iznosu od 316.687,30 EUR. U izvještajnom razdoblju ostvareni su prihodi u iznosu od 158.587,78 EUR, koji se odnose na sredstva za cjepiva </w:t>
      </w:r>
      <w:r w:rsidRPr="00E660BE">
        <w:rPr>
          <w:rFonts w:ascii="Bookman Old Style" w:hAnsi="Bookman Old Style" w:cs="Arial"/>
          <w:sz w:val="20"/>
        </w:rPr>
        <w:lastRenderedPageBreak/>
        <w:t>doznačena temeljem uputa Ministarstva zdravstva te na sredstva HZZO-a za financiranje plaća pripravnika.</w:t>
      </w:r>
    </w:p>
    <w:p w14:paraId="13C8FA3D" w14:textId="77777777" w:rsidR="00E660BE" w:rsidRPr="00E660BE" w:rsidRDefault="00E660BE" w:rsidP="00E660BE">
      <w:pPr>
        <w:pStyle w:val="StandardWeb"/>
        <w:jc w:val="both"/>
        <w:rPr>
          <w:rFonts w:ascii="Bookman Old Style" w:hAnsi="Bookman Old Style" w:cs="Arial"/>
          <w:sz w:val="20"/>
        </w:rPr>
      </w:pPr>
      <w:r w:rsidRPr="00E660BE">
        <w:rPr>
          <w:rFonts w:ascii="Bookman Old Style" w:hAnsi="Bookman Old Style" w:cs="Arial"/>
          <w:sz w:val="20"/>
        </w:rPr>
        <w:t>Rashodi financirani iz ovog izvora ostvareni su u ukupnom iznosu od 322.345,37 EUR, od čega se 158.587,78 EUR odnosi na rashode financirane tekućim prihodima, dok se 163.757,59 EUR odnosi na korištenje prenesenog viška iz prethodnih godina, što predstavlja 86,33 % planiranih prenesenih sredstava.</w:t>
      </w:r>
    </w:p>
    <w:p w14:paraId="2034BCF8" w14:textId="77777777" w:rsidR="00E660BE" w:rsidRPr="00E660BE" w:rsidRDefault="00E660BE" w:rsidP="00E660BE">
      <w:pPr>
        <w:pStyle w:val="StandardWeb"/>
        <w:jc w:val="both"/>
        <w:rPr>
          <w:rFonts w:ascii="Bookman Old Style" w:hAnsi="Bookman Old Style" w:cs="Arial"/>
          <w:sz w:val="20"/>
        </w:rPr>
      </w:pPr>
      <w:r w:rsidRPr="00E660BE">
        <w:rPr>
          <w:rFonts w:ascii="Bookman Old Style" w:hAnsi="Bookman Old Style" w:cs="Arial"/>
          <w:sz w:val="20"/>
        </w:rPr>
        <w:t>Preneseni višak korišten je za financiranje rashoda za cjepiva koja su zaprimljena u prethodnoj godini, a utrošena tijekom izvještajnog razdoblja, slijedom čega je njihov utrošak evidentiran na teret prenesenih sredstava ovog izvora.</w:t>
      </w:r>
    </w:p>
    <w:p w14:paraId="0B5802BA" w14:textId="7B46C28F" w:rsidR="006C5ADC" w:rsidRPr="006C5ADC" w:rsidRDefault="006C5ADC" w:rsidP="006C5ADC">
      <w:pPr>
        <w:pStyle w:val="StandardWeb"/>
        <w:jc w:val="both"/>
        <w:rPr>
          <w:rFonts w:ascii="Bookman Old Style" w:hAnsi="Bookman Old Style" w:cs="Arial"/>
          <w:b/>
          <w:sz w:val="20"/>
        </w:rPr>
      </w:pPr>
      <w:r w:rsidRPr="006C5ADC">
        <w:rPr>
          <w:rFonts w:ascii="Bookman Old Style" w:hAnsi="Bookman Old Style" w:cs="Arial"/>
          <w:b/>
          <w:sz w:val="20"/>
        </w:rPr>
        <w:t>Izvor 5</w:t>
      </w:r>
      <w:r w:rsidR="00DC7C19">
        <w:rPr>
          <w:rFonts w:ascii="Bookman Old Style" w:hAnsi="Bookman Old Style" w:cs="Arial"/>
          <w:b/>
          <w:sz w:val="20"/>
        </w:rPr>
        <w:t>8</w:t>
      </w:r>
      <w:r w:rsidRPr="006C5ADC">
        <w:rPr>
          <w:rFonts w:ascii="Bookman Old Style" w:hAnsi="Bookman Old Style" w:cs="Arial"/>
          <w:b/>
          <w:sz w:val="20"/>
        </w:rPr>
        <w:t xml:space="preserve"> – Pomoći/Fondovi EU </w:t>
      </w:r>
    </w:p>
    <w:p w14:paraId="2E88EC0C"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Prihodi iz izvora 58 – Instrumenti EU nove generacije ostvareni su u iznosu od 1.083,35 EUR, od čega je 300,00 EUR ostvareno u tekućoj godini, dok se 783,35 EUR odnosi na korištenje prenesenih sredstava iz prethodnih godina. Ostvarena sredstva odnose se na financiranje specijalizacija u okviru Nacionalnog plana oporavka i otpornosti (NPOO).</w:t>
      </w:r>
    </w:p>
    <w:p w14:paraId="55D45C0E"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Rashodi financirani iz ovog izvora ostvareni su u iznosu od 300,00 EUR, što predstavlja 1,15 % planiranih sredstava. Rashodi se odnose na troškove specijalizacije financirane sredstvima Mehanizma za oporavak i otpornost.</w:t>
      </w:r>
    </w:p>
    <w:p w14:paraId="4EDC5ACE"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Razlika između ukupno raspoloživih sredstava i ostvarenih rashoda proizlazi iz dinamike korištenja sredstava projekta, pri čemu će se preostala sredstva koristiti za financiranje prihvatljivih troškova u nastavku provedbe projekta.</w:t>
      </w:r>
    </w:p>
    <w:p w14:paraId="5F458A9D" w14:textId="77777777" w:rsidR="006C5ADC" w:rsidRPr="006C5ADC" w:rsidRDefault="006C5ADC" w:rsidP="006C5ADC">
      <w:pPr>
        <w:pStyle w:val="StandardWeb"/>
        <w:jc w:val="both"/>
        <w:rPr>
          <w:rFonts w:ascii="Bookman Old Style" w:hAnsi="Bookman Old Style" w:cs="Arial"/>
          <w:b/>
          <w:sz w:val="20"/>
        </w:rPr>
      </w:pPr>
      <w:r w:rsidRPr="006C5ADC">
        <w:rPr>
          <w:rFonts w:ascii="Bookman Old Style" w:hAnsi="Bookman Old Style" w:cs="Arial"/>
          <w:b/>
          <w:sz w:val="20"/>
        </w:rPr>
        <w:t xml:space="preserve">Izvor 62 – Donacije </w:t>
      </w:r>
    </w:p>
    <w:p w14:paraId="09E39CCE" w14:textId="77777777" w:rsidR="006C5ADC" w:rsidRPr="006C5ADC" w:rsidRDefault="006C5ADC" w:rsidP="006C5ADC">
      <w:pPr>
        <w:pStyle w:val="StandardWeb"/>
        <w:jc w:val="both"/>
        <w:rPr>
          <w:rFonts w:ascii="Bookman Old Style" w:hAnsi="Bookman Old Style" w:cs="Arial"/>
          <w:sz w:val="20"/>
        </w:rPr>
      </w:pPr>
      <w:r w:rsidRPr="006C5ADC">
        <w:rPr>
          <w:rFonts w:ascii="Bookman Old Style" w:hAnsi="Bookman Old Style" w:cs="Arial"/>
          <w:sz w:val="20"/>
        </w:rPr>
        <w:t>Donacije u izvještajnom razdoblju nisu ostvarene, iako su bile planirane u iznosu od 500,00 EUR.</w:t>
      </w:r>
    </w:p>
    <w:p w14:paraId="7C03304C" w14:textId="77777777" w:rsidR="006C5ADC" w:rsidRPr="006C5ADC" w:rsidRDefault="006C5ADC" w:rsidP="006C5ADC">
      <w:pPr>
        <w:pStyle w:val="StandardWeb"/>
        <w:jc w:val="both"/>
        <w:rPr>
          <w:rFonts w:ascii="Bookman Old Style" w:hAnsi="Bookman Old Style" w:cs="Arial"/>
          <w:b/>
          <w:sz w:val="20"/>
        </w:rPr>
      </w:pPr>
      <w:r w:rsidRPr="006C5ADC">
        <w:rPr>
          <w:rFonts w:ascii="Bookman Old Style" w:hAnsi="Bookman Old Style" w:cs="Arial"/>
          <w:b/>
          <w:sz w:val="20"/>
        </w:rPr>
        <w:t xml:space="preserve">Izvor 72 – Prihodi od prodaje nefinancijske imovine i nadoknade šteta </w:t>
      </w:r>
    </w:p>
    <w:p w14:paraId="79C5D727"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Prihodi iz izvora 72 – Prihodi od prodaje nefinancijske imovine i nadoknade štete s osnova osiguranja ostvareni su u iznosu od 4.168,00 EUR, što predstavlja 138,93 % planiranih prihoda. U odnosu na isto razdoblje prethodne godine, kada su iznosili 13.159,57 EUR, ostvareni su u manjem iznosu, odnosno za 68,33 %.</w:t>
      </w:r>
    </w:p>
    <w:p w14:paraId="35DBEDE7"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Ostvareni prihodi odnose se na prodaju rashodovanih službenih vozila.</w:t>
      </w:r>
    </w:p>
    <w:p w14:paraId="51427EC6"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Rashodi financirani iz ovog izvora ostvareni su u iznosu od 1.755,04 EUR, što predstavlja 58,50 % planiranih sredstava. Sredstva ostvarena prodajom nefinancijske imovine koriste se za financiranje rashoda za nabavu nefinancijske imovine, sukladno njihovoj namjeni, dok će se preostali dio ostvarenih prihoda koristiti za financiranje planiranih kapitalnih rashoda u nastavku godine.</w:t>
      </w:r>
    </w:p>
    <w:p w14:paraId="60062D50" w14:textId="77777777" w:rsidR="00DC7C19" w:rsidRPr="00DC7C19" w:rsidRDefault="00DC7C19" w:rsidP="00DC7C19">
      <w:pPr>
        <w:pStyle w:val="StandardWeb"/>
        <w:jc w:val="both"/>
        <w:rPr>
          <w:rFonts w:ascii="Bookman Old Style" w:hAnsi="Bookman Old Style" w:cs="Arial"/>
          <w:b/>
          <w:sz w:val="20"/>
        </w:rPr>
      </w:pPr>
      <w:r w:rsidRPr="00DC7C19">
        <w:rPr>
          <w:rFonts w:ascii="Bookman Old Style" w:hAnsi="Bookman Old Style" w:cs="Arial"/>
          <w:b/>
          <w:sz w:val="20"/>
        </w:rPr>
        <w:t>Izvor 81 – Namjenski primici od povrata glavnice danih zajmova i depozita</w:t>
      </w:r>
    </w:p>
    <w:p w14:paraId="68053119"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Prihodi iz izvora 81 – Namjenski primici od povrata glavnice danih zajmova i depozita ostvareni su u iznosu od 65.130,00 EUR, što predstavlja 100,00 % planiranih sredstava.</w:t>
      </w:r>
    </w:p>
    <w:p w14:paraId="2A398086"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Ostvareni primici odnose se na nabavu aparata za molekularnu dijagnostiku financiranu iz robnog zajma. Sredstva su namjenski osigurana za financiranje nabave navedene medicinske opreme radi unaprjeđenja dijagnostičkih kapaciteta Zavoda te povećanja kvalitete i dostupnosti laboratorijskih usluga.</w:t>
      </w:r>
    </w:p>
    <w:p w14:paraId="7B04527E" w14:textId="77777777" w:rsidR="00DC7C19" w:rsidRPr="00DC7C19" w:rsidRDefault="00DC7C19" w:rsidP="00DC7C19">
      <w:pPr>
        <w:pStyle w:val="StandardWeb"/>
        <w:jc w:val="both"/>
        <w:rPr>
          <w:rFonts w:ascii="Bookman Old Style" w:hAnsi="Bookman Old Style" w:cs="Arial"/>
          <w:sz w:val="20"/>
        </w:rPr>
      </w:pPr>
      <w:r w:rsidRPr="00DC7C19">
        <w:rPr>
          <w:rFonts w:ascii="Bookman Old Style" w:hAnsi="Bookman Old Style" w:cs="Arial"/>
          <w:sz w:val="20"/>
        </w:rPr>
        <w:t>Rashodi financirani iz ovog izvora ostvareni su u istom iznosu od 65.130,00 EUR, odnosno u cijelosti su realizirani sukladno planiranoj namjeni.</w:t>
      </w:r>
    </w:p>
    <w:p w14:paraId="19A23036" w14:textId="77777777" w:rsidR="00F0653F" w:rsidRDefault="00F0653F" w:rsidP="006C5ADC">
      <w:pPr>
        <w:pStyle w:val="StandardWeb"/>
        <w:jc w:val="both"/>
        <w:rPr>
          <w:rFonts w:ascii="Bookman Old Style" w:hAnsi="Bookman Old Style" w:cs="Arial"/>
          <w:sz w:val="20"/>
        </w:rPr>
      </w:pPr>
    </w:p>
    <w:p w14:paraId="6824A2A3" w14:textId="77777777" w:rsidR="00E660BE" w:rsidRPr="00E660BE" w:rsidRDefault="00E660BE" w:rsidP="00E660BE">
      <w:pPr>
        <w:pStyle w:val="StandardWeb"/>
        <w:numPr>
          <w:ilvl w:val="0"/>
          <w:numId w:val="13"/>
        </w:numPr>
        <w:jc w:val="both"/>
        <w:rPr>
          <w:rFonts w:ascii="Arial" w:hAnsi="Arial" w:cs="Arial"/>
          <w:b/>
          <w:bCs/>
          <w:color w:val="000000"/>
        </w:rPr>
      </w:pPr>
      <w:r w:rsidRPr="00E660BE">
        <w:rPr>
          <w:rFonts w:ascii="Bookman Old Style" w:hAnsi="Bookman Old Style" w:cs="Arial"/>
          <w:b/>
          <w:bCs/>
          <w:sz w:val="22"/>
        </w:rPr>
        <w:t>IZVJEŠTAJ O RASHODIMA PREMA FUNKCIJSKOJ KLASIFIKACIJI</w:t>
      </w:r>
    </w:p>
    <w:p w14:paraId="7E203D1D" w14:textId="4891D9F8" w:rsidR="00421404" w:rsidRDefault="00E660BE" w:rsidP="006C5ADC">
      <w:pPr>
        <w:pStyle w:val="StandardWeb"/>
        <w:jc w:val="both"/>
        <w:rPr>
          <w:rFonts w:ascii="Bookman Old Style" w:hAnsi="Bookman Old Style" w:cs="Arial"/>
          <w:sz w:val="20"/>
        </w:rPr>
      </w:pPr>
      <w:r w:rsidRPr="00E660BE">
        <w:rPr>
          <w:noProof/>
        </w:rPr>
        <w:drawing>
          <wp:inline distT="0" distB="0" distL="0" distR="0" wp14:anchorId="17318322" wp14:editId="46C3C00F">
            <wp:extent cx="6146800" cy="104775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6800" cy="1047750"/>
                    </a:xfrm>
                    <a:prstGeom prst="rect">
                      <a:avLst/>
                    </a:prstGeom>
                    <a:noFill/>
                    <a:ln>
                      <a:noFill/>
                    </a:ln>
                  </pic:spPr>
                </pic:pic>
              </a:graphicData>
            </a:graphic>
          </wp:inline>
        </w:drawing>
      </w:r>
    </w:p>
    <w:p w14:paraId="3493DC51" w14:textId="77777777" w:rsidR="00E660BE" w:rsidRPr="00E660BE" w:rsidRDefault="00E660BE" w:rsidP="00E660BE">
      <w:pPr>
        <w:pStyle w:val="StandardWeb"/>
        <w:jc w:val="both"/>
        <w:rPr>
          <w:rFonts w:ascii="Bookman Old Style" w:hAnsi="Bookman Old Style" w:cs="Arial"/>
          <w:sz w:val="20"/>
        </w:rPr>
      </w:pPr>
      <w:r w:rsidRPr="00E660BE">
        <w:rPr>
          <w:rFonts w:ascii="Bookman Old Style" w:hAnsi="Bookman Old Style" w:cs="Arial"/>
          <w:sz w:val="20"/>
        </w:rPr>
        <w:t>Rashodi Zavoda planirani su i izvršavaju se u okviru funkcijske klasifikacije 07 – Zdravstvo. U razdoblju od 1. siječnja do 30. lipnja 2026. godine ukupni rashodi ostvareni su u iznosu od 2.914.108,81 EUR, što predstavlja 50,75 % planiranih sredstava te povećanje od 13,67 % u odnosu na isto razdoblje prethodne godine.</w:t>
      </w:r>
    </w:p>
    <w:p w14:paraId="2777D57C" w14:textId="77777777" w:rsidR="00E660BE" w:rsidRPr="00E660BE" w:rsidRDefault="00E660BE" w:rsidP="00E660BE">
      <w:pPr>
        <w:pStyle w:val="StandardWeb"/>
        <w:jc w:val="both"/>
        <w:rPr>
          <w:rFonts w:ascii="Bookman Old Style" w:hAnsi="Bookman Old Style" w:cs="Arial"/>
          <w:sz w:val="20"/>
        </w:rPr>
      </w:pPr>
      <w:r w:rsidRPr="00E660BE">
        <w:rPr>
          <w:rFonts w:ascii="Bookman Old Style" w:hAnsi="Bookman Old Style" w:cs="Arial"/>
          <w:sz w:val="20"/>
        </w:rPr>
        <w:t>Najveći dio rashoda odnosi se na funkciju 072 – Službe za vanjske pacijente, u okviru koje je ostvareno 2.914.108,81 EUR, odnosno 50,98 % planiranih sredstava. U odnosu na isto razdoblje prethodne godine rashodi ove funkcije povećani su za 13,67 %, što proizlazi iz redovitog obavljanja zdravstvene djelatnosti Zavoda te povećanih ulaganja u opremu i financiranja redovnog poslovanja.</w:t>
      </w:r>
    </w:p>
    <w:p w14:paraId="3B45C985" w14:textId="798DAB38" w:rsidR="00E660BE" w:rsidRDefault="00E660BE" w:rsidP="00E660BE">
      <w:pPr>
        <w:pStyle w:val="StandardWeb"/>
        <w:jc w:val="both"/>
        <w:rPr>
          <w:rFonts w:ascii="Bookman Old Style" w:hAnsi="Bookman Old Style" w:cs="Arial"/>
          <w:sz w:val="20"/>
        </w:rPr>
      </w:pPr>
      <w:r w:rsidRPr="00E660BE">
        <w:rPr>
          <w:rFonts w:ascii="Bookman Old Style" w:hAnsi="Bookman Old Style" w:cs="Arial"/>
          <w:sz w:val="20"/>
        </w:rPr>
        <w:t>Za funkciju 074 – Služba javnog zdravstva u izvještajnom razdoblju nisu ostvareni rashodi, iako su planirana sredstva u iznosu od 25.881,00 EUR, budući da realizacija planiranih aktivnosti nije započela tijekom prvog polugodišta te se njihovo izvršenje očekuje u nastavku godine.</w:t>
      </w:r>
    </w:p>
    <w:p w14:paraId="4AEE8ABD" w14:textId="77777777" w:rsidR="00E660BE" w:rsidRPr="00E660BE" w:rsidRDefault="00E660BE" w:rsidP="00E660BE">
      <w:pPr>
        <w:pStyle w:val="StandardWeb"/>
        <w:jc w:val="both"/>
        <w:rPr>
          <w:rFonts w:ascii="Bookman Old Style" w:hAnsi="Bookman Old Style" w:cs="Arial"/>
          <w:sz w:val="20"/>
        </w:rPr>
      </w:pPr>
    </w:p>
    <w:p w14:paraId="69D125EA" w14:textId="77777777" w:rsidR="00E660BE" w:rsidRPr="00E660BE" w:rsidRDefault="00E660BE" w:rsidP="00E660BE">
      <w:pPr>
        <w:pStyle w:val="StandardWeb"/>
        <w:numPr>
          <w:ilvl w:val="0"/>
          <w:numId w:val="13"/>
        </w:numPr>
        <w:jc w:val="both"/>
        <w:rPr>
          <w:rFonts w:ascii="Bookman Old Style" w:hAnsi="Bookman Old Style" w:cs="Arial"/>
          <w:b/>
          <w:bCs/>
          <w:sz w:val="22"/>
        </w:rPr>
      </w:pPr>
      <w:r w:rsidRPr="00E660BE">
        <w:rPr>
          <w:rFonts w:ascii="Bookman Old Style" w:hAnsi="Bookman Old Style" w:cs="Arial"/>
          <w:b/>
          <w:bCs/>
          <w:sz w:val="22"/>
        </w:rPr>
        <w:t>RAČUN FINANCIRANJA</w:t>
      </w:r>
    </w:p>
    <w:p w14:paraId="528FB2A0" w14:textId="77777777" w:rsidR="00E660BE" w:rsidRPr="00E660BE" w:rsidRDefault="00E660BE" w:rsidP="00E660BE">
      <w:pPr>
        <w:pStyle w:val="StandardWeb"/>
        <w:numPr>
          <w:ilvl w:val="0"/>
          <w:numId w:val="12"/>
        </w:numPr>
        <w:jc w:val="both"/>
        <w:rPr>
          <w:rFonts w:ascii="Bookman Old Style" w:hAnsi="Bookman Old Style" w:cs="Arial"/>
          <w:b/>
          <w:sz w:val="20"/>
        </w:rPr>
      </w:pPr>
      <w:r w:rsidRPr="00E660BE">
        <w:rPr>
          <w:rFonts w:ascii="Bookman Old Style" w:hAnsi="Bookman Old Style" w:cs="Arial"/>
          <w:b/>
          <w:sz w:val="20"/>
        </w:rPr>
        <w:t xml:space="preserve">IZVJEŠTAJ RAČUNA FINANCIRANJA PREMA EKONOMSKOJ KLASIFIKACIJI </w:t>
      </w:r>
    </w:p>
    <w:p w14:paraId="5775B6DA" w14:textId="20FC86C4" w:rsidR="00E66DF9" w:rsidRDefault="00E660BE" w:rsidP="00E66DF9">
      <w:pPr>
        <w:pStyle w:val="StandardWeb"/>
        <w:jc w:val="both"/>
        <w:rPr>
          <w:rStyle w:val="Naglaeno"/>
          <w:rFonts w:ascii="Bookman Old Style" w:hAnsi="Bookman Old Style"/>
          <w:lang w:val="de-DE"/>
        </w:rPr>
      </w:pPr>
      <w:r w:rsidRPr="00E660BE">
        <w:rPr>
          <w:rStyle w:val="Naglaeno"/>
          <w:b w:val="0"/>
          <w:bCs w:val="0"/>
          <w:noProof/>
        </w:rPr>
        <w:drawing>
          <wp:inline distT="0" distB="0" distL="0" distR="0" wp14:anchorId="622D374E" wp14:editId="7E1FB9B5">
            <wp:extent cx="6146800" cy="2657475"/>
            <wp:effectExtent l="0" t="0" r="635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46800" cy="2657475"/>
                    </a:xfrm>
                    <a:prstGeom prst="rect">
                      <a:avLst/>
                    </a:prstGeom>
                    <a:noFill/>
                    <a:ln>
                      <a:noFill/>
                    </a:ln>
                  </pic:spPr>
                </pic:pic>
              </a:graphicData>
            </a:graphic>
          </wp:inline>
        </w:drawing>
      </w:r>
    </w:p>
    <w:p w14:paraId="71D6431C" w14:textId="77777777" w:rsidR="00E660BE" w:rsidRPr="00E660BE" w:rsidRDefault="00E660BE" w:rsidP="00E660BE">
      <w:pPr>
        <w:pStyle w:val="StandardWeb"/>
        <w:jc w:val="both"/>
        <w:rPr>
          <w:rFonts w:ascii="Bookman Old Style" w:hAnsi="Bookman Old Style" w:cs="Arial"/>
          <w:sz w:val="20"/>
        </w:rPr>
      </w:pPr>
      <w:r w:rsidRPr="00E660BE">
        <w:rPr>
          <w:rFonts w:ascii="Bookman Old Style" w:hAnsi="Bookman Old Style" w:cs="Arial"/>
          <w:sz w:val="20"/>
        </w:rPr>
        <w:t>Primici od financijske imovine i zaduživanja ostvareni su u iznosu od 65.130,00 EUR, što predstavlja 100,00 % planiranih sredstava. Ostvareni primici odnose se na primljeni robni zajam od tuzemnog trgovačkog društva izvan javnog sektora za financiranje nabave aparata za molekularnu dijagnostiku, čime su unaprijeđeni dijagnostički kapaciteti Zavoda.</w:t>
      </w:r>
    </w:p>
    <w:p w14:paraId="43D97A77" w14:textId="77777777" w:rsidR="00E660BE" w:rsidRPr="00E660BE" w:rsidRDefault="00E660BE" w:rsidP="00E660BE">
      <w:pPr>
        <w:pStyle w:val="StandardWeb"/>
        <w:jc w:val="both"/>
        <w:rPr>
          <w:rFonts w:ascii="Bookman Old Style" w:hAnsi="Bookman Old Style" w:cs="Arial"/>
          <w:sz w:val="20"/>
        </w:rPr>
      </w:pPr>
      <w:r w:rsidRPr="00E660BE">
        <w:rPr>
          <w:rFonts w:ascii="Bookman Old Style" w:hAnsi="Bookman Old Style" w:cs="Arial"/>
          <w:sz w:val="20"/>
        </w:rPr>
        <w:t>Izdaci za financijsku imovinu i otplate zajmova ostvareni su u iznosu od 16.282,50 EUR, što predstavlja 50,00 % planiranih sredstava. Navedeni izdaci odnose se na otplatu glavnice primljenog robnog zajma, koja se provodi sukladno ugovorenom otplatnom planu.</w:t>
      </w:r>
    </w:p>
    <w:p w14:paraId="093BF349" w14:textId="77777777" w:rsidR="00E660BE" w:rsidRPr="00E660BE" w:rsidRDefault="00E660BE" w:rsidP="00E660BE">
      <w:pPr>
        <w:pStyle w:val="StandardWeb"/>
        <w:jc w:val="both"/>
        <w:rPr>
          <w:rFonts w:ascii="Bookman Old Style" w:hAnsi="Bookman Old Style" w:cs="Arial"/>
          <w:sz w:val="20"/>
        </w:rPr>
      </w:pPr>
      <w:r w:rsidRPr="00E660BE">
        <w:rPr>
          <w:rFonts w:ascii="Bookman Old Style" w:hAnsi="Bookman Old Style" w:cs="Arial"/>
          <w:sz w:val="20"/>
        </w:rPr>
        <w:lastRenderedPageBreak/>
        <w:t>Budući da u istom razdoblju prethodne godine nije bilo primitaka ni izdataka po ovoj osnovi, ostvarenje u prvom polugodištu 2026. godine rezultat je realizacije nabave aparata za molekularnu dijagnostiku financirane putem robnog zajma.</w:t>
      </w:r>
    </w:p>
    <w:p w14:paraId="1584F384" w14:textId="77777777" w:rsidR="00E660BE" w:rsidRPr="00E660BE" w:rsidRDefault="00E660BE" w:rsidP="00E660BE">
      <w:pPr>
        <w:pStyle w:val="StandardWeb"/>
        <w:numPr>
          <w:ilvl w:val="0"/>
          <w:numId w:val="12"/>
        </w:numPr>
        <w:jc w:val="both"/>
        <w:rPr>
          <w:rFonts w:ascii="Bookman Old Style" w:hAnsi="Bookman Old Style" w:cs="Arial"/>
          <w:b/>
          <w:sz w:val="20"/>
        </w:rPr>
      </w:pPr>
      <w:r w:rsidRPr="00E660BE">
        <w:rPr>
          <w:rFonts w:ascii="Bookman Old Style" w:hAnsi="Bookman Old Style" w:cs="Arial"/>
          <w:b/>
          <w:sz w:val="20"/>
        </w:rPr>
        <w:t>IZVJEŠTAJ RAČUNA FINANCIRANJA PREMA IZVORIMA FINANCIRANJA</w:t>
      </w:r>
    </w:p>
    <w:p w14:paraId="69143FE4" w14:textId="245DA533" w:rsidR="00E660BE" w:rsidRPr="00E660BE" w:rsidRDefault="00E660BE" w:rsidP="00E66DF9">
      <w:pPr>
        <w:pStyle w:val="StandardWeb"/>
        <w:jc w:val="both"/>
        <w:rPr>
          <w:rFonts w:cs="Arial"/>
          <w:sz w:val="20"/>
        </w:rPr>
      </w:pPr>
      <w:r w:rsidRPr="00E660BE">
        <w:rPr>
          <w:rFonts w:ascii="Bookman Old Style" w:hAnsi="Bookman Old Style" w:cs="Arial"/>
          <w:noProof/>
          <w:sz w:val="20"/>
        </w:rPr>
        <w:drawing>
          <wp:inline distT="0" distB="0" distL="0" distR="0" wp14:anchorId="3D88C02B" wp14:editId="640241EB">
            <wp:extent cx="6146800" cy="1400175"/>
            <wp:effectExtent l="0" t="0" r="635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46800" cy="1400175"/>
                    </a:xfrm>
                    <a:prstGeom prst="rect">
                      <a:avLst/>
                    </a:prstGeom>
                    <a:noFill/>
                    <a:ln>
                      <a:noFill/>
                    </a:ln>
                  </pic:spPr>
                </pic:pic>
              </a:graphicData>
            </a:graphic>
          </wp:inline>
        </w:drawing>
      </w:r>
    </w:p>
    <w:p w14:paraId="724A221B" w14:textId="77777777" w:rsidR="00E660BE" w:rsidRPr="00E660BE" w:rsidRDefault="00E660BE" w:rsidP="00E660BE">
      <w:pPr>
        <w:pStyle w:val="StandardWeb"/>
        <w:jc w:val="both"/>
        <w:rPr>
          <w:rFonts w:ascii="Bookman Old Style" w:hAnsi="Bookman Old Style" w:cs="Arial"/>
          <w:sz w:val="20"/>
        </w:rPr>
      </w:pPr>
      <w:r w:rsidRPr="00E660BE">
        <w:rPr>
          <w:rFonts w:ascii="Bookman Old Style" w:hAnsi="Bookman Old Style" w:cs="Arial"/>
          <w:sz w:val="20"/>
        </w:rPr>
        <w:t>U prvom polugodištu 2026. godine ukupni primici ostvareni su u iznosu od 65.130,00 EUR, što predstavlja 100,00 % planiranih sredstava. Primici su ostvareni iz izvora 81 – Namjenski primici od povrata glavnice danih zajmova i depozita, a odnose se na robni zajam za nabavu aparata za molekularnu dijagnostiku. Nabava navedene opreme financirana je putem robnog zajma radi unaprjeđenja dijagnostičkih kapaciteta Zavoda i osiguravanja kvalitetnijeg pružanja zdravstvenih usluga.</w:t>
      </w:r>
    </w:p>
    <w:p w14:paraId="210B4B30" w14:textId="77777777" w:rsidR="00E660BE" w:rsidRPr="00E660BE" w:rsidRDefault="00E660BE" w:rsidP="00E660BE">
      <w:pPr>
        <w:pStyle w:val="StandardWeb"/>
        <w:jc w:val="both"/>
        <w:rPr>
          <w:rFonts w:ascii="Bookman Old Style" w:hAnsi="Bookman Old Style" w:cs="Arial"/>
          <w:sz w:val="20"/>
        </w:rPr>
      </w:pPr>
      <w:r w:rsidRPr="00E660BE">
        <w:rPr>
          <w:rFonts w:ascii="Bookman Old Style" w:hAnsi="Bookman Old Style" w:cs="Arial"/>
          <w:sz w:val="20"/>
        </w:rPr>
        <w:t>Ukupni izdaci ostvareni su u iznosu od 16.282,50 EUR, što predstavlja 50,00 % planiranih sredstava. Izdaci su financirani iz izvora 31 – Vlastiti prihodi te se u cijelosti odnose na otplatu glavnice robnog zajma, koja se izvršava sukladno ugovorenom otplatnom planu.</w:t>
      </w:r>
    </w:p>
    <w:p w14:paraId="4DD2D9BE" w14:textId="3F5A2E70" w:rsidR="00E660BE" w:rsidRPr="00E660BE" w:rsidRDefault="00E660BE" w:rsidP="00E66DF9">
      <w:pPr>
        <w:pStyle w:val="StandardWeb"/>
        <w:jc w:val="both"/>
        <w:rPr>
          <w:rStyle w:val="Naglaeno"/>
          <w:rFonts w:ascii="Bookman Old Style" w:hAnsi="Bookman Old Style" w:cs="Arial"/>
          <w:b w:val="0"/>
          <w:bCs w:val="0"/>
          <w:sz w:val="20"/>
        </w:rPr>
      </w:pPr>
      <w:r w:rsidRPr="00E660BE">
        <w:rPr>
          <w:rFonts w:ascii="Bookman Old Style" w:hAnsi="Bookman Old Style" w:cs="Arial"/>
          <w:sz w:val="20"/>
        </w:rPr>
        <w:t>S obzirom na to da u istom razdoblju prethodne godine nije bilo primitaka ni izdataka po ovoj osnovi, ostvarenje u prvom polugodištu 2026. godine posljedica je realizacije nabave aparata za molekularnu dijagnostiku financirane putem robnog zajma i početka njegove otplate.</w:t>
      </w:r>
    </w:p>
    <w:p w14:paraId="3DA46976" w14:textId="7C400808" w:rsidR="00E660BE" w:rsidRDefault="00E660BE" w:rsidP="00E66DF9">
      <w:pPr>
        <w:pStyle w:val="StandardWeb"/>
        <w:jc w:val="both"/>
        <w:rPr>
          <w:rStyle w:val="Naglaeno"/>
          <w:rFonts w:ascii="Bookman Old Style" w:hAnsi="Bookman Old Style"/>
          <w:lang w:val="de-DE"/>
        </w:rPr>
      </w:pPr>
    </w:p>
    <w:p w14:paraId="3F81206E" w14:textId="77777777" w:rsidR="00E660BE" w:rsidRPr="00E66DF9" w:rsidRDefault="00E660BE" w:rsidP="00AD2F45">
      <w:pPr>
        <w:pStyle w:val="StandardWeb"/>
        <w:spacing w:before="0" w:beforeAutospacing="0"/>
        <w:jc w:val="both"/>
        <w:rPr>
          <w:rFonts w:ascii="Bookman Old Style" w:hAnsi="Bookman Old Style" w:cs="Arial"/>
          <w:sz w:val="20"/>
        </w:rPr>
      </w:pPr>
    </w:p>
    <w:p w14:paraId="59F4A249" w14:textId="77777777" w:rsidR="00E66DF9" w:rsidRPr="00E66DF9" w:rsidRDefault="00E66DF9" w:rsidP="00AD2F45">
      <w:pPr>
        <w:pStyle w:val="StandardWeb"/>
        <w:spacing w:before="0" w:beforeAutospacing="0" w:after="0" w:afterAutospacing="0"/>
        <w:ind w:left="6480"/>
        <w:jc w:val="both"/>
        <w:rPr>
          <w:rFonts w:ascii="Bookman Old Style" w:hAnsi="Bookman Old Style" w:cs="Arial"/>
          <w:b/>
          <w:sz w:val="20"/>
        </w:rPr>
      </w:pPr>
      <w:r w:rsidRPr="00E66DF9">
        <w:rPr>
          <w:rFonts w:ascii="Bookman Old Style" w:hAnsi="Bookman Old Style" w:cs="Arial"/>
          <w:b/>
          <w:sz w:val="20"/>
        </w:rPr>
        <w:t>RAVNATELJICA</w:t>
      </w:r>
    </w:p>
    <w:p w14:paraId="1902A33D" w14:textId="77777777" w:rsidR="00E66DF9" w:rsidRPr="00E66DF9" w:rsidRDefault="00E66DF9" w:rsidP="00AD2F45">
      <w:pPr>
        <w:pStyle w:val="StandardWeb"/>
        <w:spacing w:before="0" w:beforeAutospacing="0" w:after="0" w:afterAutospacing="0"/>
        <w:ind w:left="6480"/>
        <w:jc w:val="both"/>
        <w:rPr>
          <w:rFonts w:ascii="Bookman Old Style" w:hAnsi="Bookman Old Style" w:cs="Arial"/>
          <w:b/>
          <w:sz w:val="20"/>
        </w:rPr>
      </w:pPr>
      <w:r w:rsidRPr="00E66DF9">
        <w:rPr>
          <w:rFonts w:ascii="Bookman Old Style" w:hAnsi="Bookman Old Style" w:cs="Arial"/>
          <w:b/>
          <w:sz w:val="20"/>
        </w:rPr>
        <w:t xml:space="preserve">Jele </w:t>
      </w:r>
      <w:proofErr w:type="spellStart"/>
      <w:r w:rsidRPr="00E66DF9">
        <w:rPr>
          <w:rFonts w:ascii="Bookman Old Style" w:hAnsi="Bookman Old Style" w:cs="Arial"/>
          <w:b/>
          <w:sz w:val="20"/>
        </w:rPr>
        <w:t>Škrabić</w:t>
      </w:r>
      <w:proofErr w:type="spellEnd"/>
      <w:r w:rsidRPr="00E66DF9">
        <w:rPr>
          <w:rFonts w:ascii="Bookman Old Style" w:hAnsi="Bookman Old Style" w:cs="Arial"/>
          <w:b/>
          <w:sz w:val="20"/>
        </w:rPr>
        <w:t>, dipl. iur.</w:t>
      </w:r>
    </w:p>
    <w:sectPr w:rsidR="00E66DF9" w:rsidRPr="00E66DF9" w:rsidSect="00F0653F">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907" w:right="1134" w:bottom="993" w:left="1092" w:header="568" w:footer="96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1B306" w14:textId="77777777" w:rsidR="00C132E3" w:rsidRDefault="00C132E3" w:rsidP="00B54D95">
      <w:r>
        <w:separator/>
      </w:r>
    </w:p>
  </w:endnote>
  <w:endnote w:type="continuationSeparator" w:id="0">
    <w:p w14:paraId="00C5C0A2" w14:textId="77777777" w:rsidR="00C132E3" w:rsidRDefault="00C132E3" w:rsidP="00B54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20259" w14:textId="77777777" w:rsidR="00A51167" w:rsidRDefault="00A51167">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C2752" w14:textId="77777777" w:rsidR="00A51167" w:rsidRDefault="00A51167">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E77D8" w14:textId="77777777" w:rsidR="00A51167" w:rsidRDefault="00A51167" w:rsidP="001C5FE7">
    <w:pPr>
      <w:pStyle w:val="Podnoje"/>
      <w:jc w:val="center"/>
    </w:pPr>
    <w:r>
      <w:rPr>
        <w:noProof/>
        <w:lang w:eastAsia="hr-HR"/>
      </w:rPr>
      <w:drawing>
        <wp:inline distT="0" distB="0" distL="0" distR="0" wp14:anchorId="37B37407" wp14:editId="7A771086">
          <wp:extent cx="4267200" cy="619360"/>
          <wp:effectExtent l="0" t="0" r="0" b="0"/>
          <wp:docPr id="1" name="Slika 0" descr="zavo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vod2-1.png"/>
                  <pic:cNvPicPr/>
                </pic:nvPicPr>
                <pic:blipFill>
                  <a:blip r:embed="rId1"/>
                  <a:stretch>
                    <a:fillRect/>
                  </a:stretch>
                </pic:blipFill>
                <pic:spPr>
                  <a:xfrm>
                    <a:off x="0" y="0"/>
                    <a:ext cx="4288813" cy="622497"/>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A71BC" w14:textId="77777777" w:rsidR="00C132E3" w:rsidRDefault="00C132E3" w:rsidP="00B54D95">
      <w:r>
        <w:separator/>
      </w:r>
    </w:p>
  </w:footnote>
  <w:footnote w:type="continuationSeparator" w:id="0">
    <w:p w14:paraId="242CF764" w14:textId="77777777" w:rsidR="00C132E3" w:rsidRDefault="00C132E3" w:rsidP="00B54D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6CCC9" w14:textId="77777777" w:rsidR="00A51167" w:rsidRDefault="00A51167">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50EA0" w14:textId="77777777" w:rsidR="00A51167" w:rsidRDefault="00A51167">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513"/>
      <w:gridCol w:w="249"/>
    </w:tblGrid>
    <w:tr w:rsidR="00A51167" w:rsidRPr="00287117" w14:paraId="30D7974F" w14:textId="77777777" w:rsidTr="00A51167">
      <w:tc>
        <w:tcPr>
          <w:tcW w:w="9855" w:type="dxa"/>
          <w:gridSpan w:val="3"/>
          <w:tcBorders>
            <w:top w:val="nil"/>
            <w:left w:val="nil"/>
            <w:bottom w:val="nil"/>
            <w:right w:val="nil"/>
          </w:tcBorders>
        </w:tcPr>
        <w:p w14:paraId="73AC376F" w14:textId="77777777" w:rsidR="00A51167" w:rsidRPr="00287117" w:rsidRDefault="00A51167" w:rsidP="00A51167">
          <w:pPr>
            <w:pStyle w:val="Uvuenotijeloteksta"/>
            <w:ind w:firstLine="0"/>
            <w:jc w:val="center"/>
            <w:rPr>
              <w:rFonts w:ascii="Arial" w:hAnsi="Arial" w:cs="Arial"/>
              <w:b/>
              <w:bCs/>
              <w:color w:val="0065B0"/>
              <w:spacing w:val="40"/>
              <w:sz w:val="22"/>
              <w:szCs w:val="22"/>
            </w:rPr>
          </w:pPr>
          <w:r w:rsidRPr="00287117">
            <w:rPr>
              <w:rFonts w:ascii="Arial" w:hAnsi="Arial" w:cs="Arial"/>
              <w:b/>
              <w:bCs/>
              <w:color w:val="0065B0"/>
              <w:spacing w:val="40"/>
              <w:sz w:val="22"/>
              <w:szCs w:val="22"/>
            </w:rPr>
            <w:t xml:space="preserve">         </w:t>
          </w:r>
          <w:r w:rsidRPr="00287117">
            <w:rPr>
              <w:rFonts w:ascii="Arial" w:hAnsi="Arial" w:cs="Arial"/>
              <w:b/>
              <w:bCs/>
              <w:color w:val="0065B0"/>
              <w:spacing w:val="40"/>
              <w:sz w:val="22"/>
              <w:szCs w:val="22"/>
            </w:rPr>
            <w:t>Zavod za javno zdravstvo Dubrovačko-neretvanske županije</w:t>
          </w:r>
        </w:p>
      </w:tc>
    </w:tr>
    <w:tr w:rsidR="00A51167" w:rsidRPr="00287117" w14:paraId="55FBC668" w14:textId="77777777" w:rsidTr="00A51167">
      <w:trPr>
        <w:gridAfter w:val="1"/>
        <w:wAfter w:w="249" w:type="dxa"/>
        <w:cantSplit/>
        <w:trHeight w:val="57"/>
      </w:trPr>
      <w:tc>
        <w:tcPr>
          <w:tcW w:w="2093" w:type="dxa"/>
          <w:vMerge w:val="restart"/>
          <w:tcBorders>
            <w:top w:val="nil"/>
            <w:left w:val="nil"/>
            <w:bottom w:val="nil"/>
            <w:right w:val="nil"/>
          </w:tcBorders>
        </w:tcPr>
        <w:p w14:paraId="59D48073" w14:textId="77777777" w:rsidR="00A51167" w:rsidRPr="00287117" w:rsidRDefault="00A51167" w:rsidP="00A51167">
          <w:pPr>
            <w:rPr>
              <w:color w:val="0065B0"/>
            </w:rPr>
          </w:pPr>
          <w:r w:rsidRPr="00287117">
            <w:rPr>
              <w:rFonts w:ascii="Arial" w:hAnsi="Arial" w:cs="Arial"/>
              <w:bCs/>
              <w:noProof/>
              <w:color w:val="0065B0"/>
              <w:lang w:eastAsia="hr-HR"/>
            </w:rPr>
            <w:drawing>
              <wp:inline distT="0" distB="0" distL="0" distR="0" wp14:anchorId="062F9E70" wp14:editId="6BDDD14D">
                <wp:extent cx="982980" cy="646325"/>
                <wp:effectExtent l="19050" t="0" r="7620" b="0"/>
                <wp:docPr id="3" name="Picture 4" descr="D:\Dokumenti\RAVNATELJ\SOCIJALNI MARKETING I MEDIJI\REKLAMIRANJE ZAVODA\Biram zdravlje\biram zdravlje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umenti\RAVNATELJ\SOCIJALNI MARKETING I MEDIJI\REKLAMIRANJE ZAVODA\Biram zdravlje\biram zdravlje jpeg.jpg"/>
                        <pic:cNvPicPr>
                          <a:picLocks noChangeAspect="1" noChangeArrowheads="1"/>
                        </pic:cNvPicPr>
                      </pic:nvPicPr>
                      <pic:blipFill>
                        <a:blip r:embed="rId1"/>
                        <a:srcRect/>
                        <a:stretch>
                          <a:fillRect/>
                        </a:stretch>
                      </pic:blipFill>
                      <pic:spPr bwMode="auto">
                        <a:xfrm>
                          <a:off x="0" y="0"/>
                          <a:ext cx="986168" cy="648421"/>
                        </a:xfrm>
                        <a:prstGeom prst="rect">
                          <a:avLst/>
                        </a:prstGeom>
                        <a:noFill/>
                        <a:ln w="9525">
                          <a:noFill/>
                          <a:miter lim="800000"/>
                          <a:headEnd/>
                          <a:tailEnd/>
                        </a:ln>
                      </pic:spPr>
                    </pic:pic>
                  </a:graphicData>
                </a:graphic>
              </wp:inline>
            </w:drawing>
          </w:r>
        </w:p>
      </w:tc>
      <w:tc>
        <w:tcPr>
          <w:tcW w:w="7513" w:type="dxa"/>
          <w:tcBorders>
            <w:top w:val="nil"/>
            <w:left w:val="nil"/>
            <w:bottom w:val="doubleWave" w:sz="6" w:space="0" w:color="000080"/>
            <w:right w:val="nil"/>
          </w:tcBorders>
        </w:tcPr>
        <w:p w14:paraId="485091F2" w14:textId="77777777" w:rsidR="00A51167" w:rsidRPr="00287117" w:rsidRDefault="00A51167" w:rsidP="00A51167">
          <w:pPr>
            <w:pStyle w:val="Uvuenotijeloteksta"/>
            <w:ind w:firstLine="0"/>
            <w:jc w:val="left"/>
            <w:rPr>
              <w:rFonts w:ascii="Times New Roman" w:hAnsi="Times New Roman" w:cs="Times New Roman"/>
              <w:b/>
              <w:bCs/>
              <w:color w:val="0065B0"/>
              <w:sz w:val="6"/>
            </w:rPr>
          </w:pPr>
        </w:p>
      </w:tc>
    </w:tr>
    <w:tr w:rsidR="00A51167" w:rsidRPr="00287117" w14:paraId="71A7B1DC" w14:textId="77777777" w:rsidTr="00A51167">
      <w:trPr>
        <w:gridAfter w:val="1"/>
        <w:wAfter w:w="249" w:type="dxa"/>
        <w:cantSplit/>
        <w:trHeight w:val="585"/>
      </w:trPr>
      <w:tc>
        <w:tcPr>
          <w:tcW w:w="2093" w:type="dxa"/>
          <w:vMerge/>
          <w:tcBorders>
            <w:top w:val="nil"/>
            <w:left w:val="nil"/>
            <w:bottom w:val="nil"/>
            <w:right w:val="nil"/>
          </w:tcBorders>
        </w:tcPr>
        <w:p w14:paraId="36F76749" w14:textId="77777777" w:rsidR="00A51167" w:rsidRPr="00287117" w:rsidRDefault="00A51167" w:rsidP="00A51167">
          <w:pPr>
            <w:rPr>
              <w:color w:val="0065B0"/>
            </w:rPr>
          </w:pPr>
        </w:p>
      </w:tc>
      <w:tc>
        <w:tcPr>
          <w:tcW w:w="7513" w:type="dxa"/>
          <w:tcBorders>
            <w:top w:val="doubleWave" w:sz="6" w:space="0" w:color="000080"/>
            <w:left w:val="nil"/>
            <w:bottom w:val="doubleWave" w:sz="6" w:space="0" w:color="000080"/>
            <w:right w:val="nil"/>
          </w:tcBorders>
        </w:tcPr>
        <w:p w14:paraId="4C423DC0" w14:textId="77777777" w:rsidR="00A51167" w:rsidRPr="00287117" w:rsidRDefault="00A51167" w:rsidP="00A51167">
          <w:pPr>
            <w:pStyle w:val="Uvuenotijeloteksta"/>
            <w:spacing w:before="120"/>
            <w:ind w:firstLine="0"/>
            <w:rPr>
              <w:rFonts w:ascii="Arial" w:hAnsi="Arial" w:cs="Arial"/>
              <w:b/>
              <w:bCs/>
              <w:color w:val="0065B0"/>
              <w:sz w:val="18"/>
              <w:szCs w:val="18"/>
            </w:rPr>
          </w:pPr>
          <w:r w:rsidRPr="00287117">
            <w:rPr>
              <w:rFonts w:ascii="Arial" w:hAnsi="Arial" w:cs="Arial"/>
              <w:b/>
              <w:bCs/>
              <w:color w:val="0065B0"/>
              <w:sz w:val="18"/>
              <w:szCs w:val="18"/>
            </w:rPr>
            <w:t xml:space="preserve">Dr Ante Šercera 4A;  p.p. </w:t>
          </w:r>
          <w:r>
            <w:rPr>
              <w:rFonts w:ascii="Arial" w:hAnsi="Arial" w:cs="Arial"/>
              <w:b/>
              <w:bCs/>
              <w:color w:val="0065B0"/>
              <w:sz w:val="18"/>
              <w:szCs w:val="18"/>
            </w:rPr>
            <w:t>222</w:t>
          </w:r>
          <w:r w:rsidRPr="00287117">
            <w:rPr>
              <w:rFonts w:ascii="Arial" w:hAnsi="Arial" w:cs="Arial"/>
              <w:b/>
              <w:bCs/>
              <w:color w:val="0065B0"/>
              <w:sz w:val="18"/>
              <w:szCs w:val="18"/>
            </w:rPr>
            <w:t xml:space="preserve">;  20 001 Dubrovnik, </w:t>
          </w:r>
          <w:hyperlink r:id="rId2" w:history="1">
            <w:r w:rsidRPr="00DC220B">
              <w:rPr>
                <w:rStyle w:val="Hiperveza"/>
                <w:rFonts w:ascii="Arial" w:hAnsi="Arial" w:cs="Arial"/>
                <w:b/>
                <w:bCs/>
                <w:color w:val="0065B0"/>
                <w:sz w:val="18"/>
                <w:szCs w:val="18"/>
                <w:u w:val="none"/>
              </w:rPr>
              <w:t>OIB</w:t>
            </w:r>
          </w:hyperlink>
          <w:r w:rsidRPr="001F2201">
            <w:rPr>
              <w:rFonts w:ascii="Arial" w:hAnsi="Arial" w:cs="Arial"/>
              <w:b/>
              <w:bCs/>
              <w:color w:val="0065B0"/>
              <w:sz w:val="18"/>
              <w:szCs w:val="18"/>
            </w:rPr>
            <w:t>:55488649150</w:t>
          </w:r>
        </w:p>
        <w:p w14:paraId="2447CD9C" w14:textId="77777777" w:rsidR="00A51167" w:rsidRPr="00287117" w:rsidRDefault="00A51167" w:rsidP="001F2201">
          <w:pPr>
            <w:pStyle w:val="Uvuenotijeloteksta"/>
            <w:spacing w:after="160"/>
            <w:ind w:firstLine="0"/>
            <w:jc w:val="left"/>
            <w:rPr>
              <w:rFonts w:ascii="Times New Roman" w:hAnsi="Times New Roman" w:cs="Times New Roman"/>
              <w:b/>
              <w:bCs/>
              <w:color w:val="0065B0"/>
              <w:sz w:val="16"/>
            </w:rPr>
          </w:pPr>
          <w:r w:rsidRPr="00287117">
            <w:rPr>
              <w:rFonts w:ascii="Arial" w:hAnsi="Arial" w:cs="Arial"/>
              <w:b/>
              <w:bCs/>
              <w:color w:val="0065B0"/>
              <w:sz w:val="18"/>
              <w:szCs w:val="18"/>
            </w:rPr>
            <w:t>Ravnateljstvo: tel:(020)341-000, e-mail:</w:t>
          </w:r>
          <w:r>
            <w:rPr>
              <w:rFonts w:ascii="Arial" w:hAnsi="Arial" w:cs="Arial"/>
              <w:b/>
              <w:bCs/>
              <w:color w:val="0065B0"/>
              <w:sz w:val="18"/>
              <w:szCs w:val="18"/>
            </w:rPr>
            <w:t xml:space="preserve"> pisarnica</w:t>
          </w:r>
          <w:r w:rsidRPr="00287117">
            <w:rPr>
              <w:rFonts w:ascii="Arial" w:hAnsi="Arial" w:cs="Arial"/>
              <w:b/>
              <w:bCs/>
              <w:color w:val="0065B0"/>
              <w:sz w:val="18"/>
              <w:szCs w:val="18"/>
            </w:rPr>
            <w:t>@zzjzdnz.hr</w:t>
          </w:r>
          <w:r>
            <w:rPr>
              <w:rFonts w:ascii="Arial" w:hAnsi="Arial" w:cs="Arial"/>
              <w:b/>
              <w:bCs/>
              <w:color w:val="0065B0"/>
              <w:sz w:val="18"/>
              <w:szCs w:val="18"/>
            </w:rPr>
            <w:t xml:space="preserve">, </w:t>
          </w:r>
          <w:hyperlink r:id="rId3" w:history="1">
            <w:r w:rsidRPr="00DC220B">
              <w:rPr>
                <w:rStyle w:val="Hiperveza"/>
                <w:rFonts w:ascii="Arial" w:hAnsi="Arial" w:cs="Arial"/>
                <w:b/>
                <w:bCs/>
                <w:color w:val="0065B0"/>
                <w:sz w:val="18"/>
                <w:szCs w:val="18"/>
                <w:u w:val="none"/>
              </w:rPr>
              <w:t>www.zzjzdnz.hr</w:t>
            </w:r>
          </w:hyperlink>
        </w:p>
      </w:tc>
    </w:tr>
    <w:tr w:rsidR="00A51167" w:rsidRPr="00287117" w14:paraId="631C30B2" w14:textId="77777777" w:rsidTr="00A51167">
      <w:trPr>
        <w:gridAfter w:val="1"/>
        <w:wAfter w:w="249" w:type="dxa"/>
        <w:cantSplit/>
        <w:trHeight w:val="20"/>
      </w:trPr>
      <w:tc>
        <w:tcPr>
          <w:tcW w:w="2093" w:type="dxa"/>
          <w:vMerge/>
          <w:tcBorders>
            <w:top w:val="nil"/>
            <w:left w:val="nil"/>
            <w:bottom w:val="nil"/>
            <w:right w:val="nil"/>
          </w:tcBorders>
        </w:tcPr>
        <w:p w14:paraId="495F3D1B" w14:textId="77777777" w:rsidR="00A51167" w:rsidRPr="00287117" w:rsidRDefault="00A51167" w:rsidP="00A51167">
          <w:pPr>
            <w:rPr>
              <w:color w:val="0065B0"/>
            </w:rPr>
          </w:pPr>
        </w:p>
      </w:tc>
      <w:tc>
        <w:tcPr>
          <w:tcW w:w="7513" w:type="dxa"/>
          <w:tcBorders>
            <w:top w:val="doubleWave" w:sz="6" w:space="0" w:color="000080"/>
            <w:left w:val="nil"/>
            <w:bottom w:val="nil"/>
            <w:right w:val="nil"/>
          </w:tcBorders>
        </w:tcPr>
        <w:p w14:paraId="65B81C22" w14:textId="77777777" w:rsidR="00A51167" w:rsidRPr="00287117" w:rsidRDefault="00A51167" w:rsidP="00A51167">
          <w:pPr>
            <w:pStyle w:val="Uvuenotijeloteksta"/>
            <w:ind w:firstLine="0"/>
            <w:rPr>
              <w:rFonts w:ascii="Times New Roman" w:hAnsi="Times New Roman" w:cs="Times New Roman"/>
              <w:b/>
              <w:bCs/>
              <w:color w:val="0065B0"/>
              <w:sz w:val="6"/>
            </w:rPr>
          </w:pPr>
        </w:p>
      </w:tc>
    </w:tr>
  </w:tbl>
  <w:p w14:paraId="4B850F87" w14:textId="77777777" w:rsidR="00A51167" w:rsidRPr="00287117" w:rsidRDefault="00A51167" w:rsidP="00F0653F">
    <w:pPr>
      <w:pStyle w:val="Uvuenotijeloteksta"/>
      <w:ind w:firstLine="0"/>
      <w:rPr>
        <w:rFonts w:ascii="Arial" w:hAnsi="Arial" w:cs="Arial"/>
        <w:b/>
        <w:bCs/>
        <w:color w:val="0065B0"/>
        <w:sz w:val="14"/>
        <w:szCs w:val="14"/>
      </w:rPr>
    </w:pPr>
  </w:p>
  <w:p w14:paraId="4AB19957" w14:textId="77777777" w:rsidR="00A51167" w:rsidRDefault="00A51167" w:rsidP="00964539">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83D56"/>
    <w:multiLevelType w:val="hybridMultilevel"/>
    <w:tmpl w:val="A7E80E9A"/>
    <w:lvl w:ilvl="0" w:tplc="041A0001">
      <w:start w:val="1"/>
      <w:numFmt w:val="bullet"/>
      <w:lvlText w:val=""/>
      <w:lvlJc w:val="left"/>
      <w:pPr>
        <w:ind w:left="1218" w:hanging="360"/>
      </w:pPr>
      <w:rPr>
        <w:rFonts w:ascii="Symbol" w:hAnsi="Symbol" w:hint="default"/>
      </w:rPr>
    </w:lvl>
    <w:lvl w:ilvl="1" w:tplc="041A0003" w:tentative="1">
      <w:start w:val="1"/>
      <w:numFmt w:val="bullet"/>
      <w:lvlText w:val="o"/>
      <w:lvlJc w:val="left"/>
      <w:pPr>
        <w:ind w:left="1938" w:hanging="360"/>
      </w:pPr>
      <w:rPr>
        <w:rFonts w:ascii="Courier New" w:hAnsi="Courier New" w:cs="Courier New" w:hint="default"/>
      </w:rPr>
    </w:lvl>
    <w:lvl w:ilvl="2" w:tplc="041A0005" w:tentative="1">
      <w:start w:val="1"/>
      <w:numFmt w:val="bullet"/>
      <w:lvlText w:val=""/>
      <w:lvlJc w:val="left"/>
      <w:pPr>
        <w:ind w:left="2658" w:hanging="360"/>
      </w:pPr>
      <w:rPr>
        <w:rFonts w:ascii="Wingdings" w:hAnsi="Wingdings" w:hint="default"/>
      </w:rPr>
    </w:lvl>
    <w:lvl w:ilvl="3" w:tplc="041A0001" w:tentative="1">
      <w:start w:val="1"/>
      <w:numFmt w:val="bullet"/>
      <w:lvlText w:val=""/>
      <w:lvlJc w:val="left"/>
      <w:pPr>
        <w:ind w:left="3378" w:hanging="360"/>
      </w:pPr>
      <w:rPr>
        <w:rFonts w:ascii="Symbol" w:hAnsi="Symbol" w:hint="default"/>
      </w:rPr>
    </w:lvl>
    <w:lvl w:ilvl="4" w:tplc="041A0003" w:tentative="1">
      <w:start w:val="1"/>
      <w:numFmt w:val="bullet"/>
      <w:lvlText w:val="o"/>
      <w:lvlJc w:val="left"/>
      <w:pPr>
        <w:ind w:left="4098" w:hanging="360"/>
      </w:pPr>
      <w:rPr>
        <w:rFonts w:ascii="Courier New" w:hAnsi="Courier New" w:cs="Courier New" w:hint="default"/>
      </w:rPr>
    </w:lvl>
    <w:lvl w:ilvl="5" w:tplc="041A0005" w:tentative="1">
      <w:start w:val="1"/>
      <w:numFmt w:val="bullet"/>
      <w:lvlText w:val=""/>
      <w:lvlJc w:val="left"/>
      <w:pPr>
        <w:ind w:left="4818" w:hanging="360"/>
      </w:pPr>
      <w:rPr>
        <w:rFonts w:ascii="Wingdings" w:hAnsi="Wingdings" w:hint="default"/>
      </w:rPr>
    </w:lvl>
    <w:lvl w:ilvl="6" w:tplc="041A0001" w:tentative="1">
      <w:start w:val="1"/>
      <w:numFmt w:val="bullet"/>
      <w:lvlText w:val=""/>
      <w:lvlJc w:val="left"/>
      <w:pPr>
        <w:ind w:left="5538" w:hanging="360"/>
      </w:pPr>
      <w:rPr>
        <w:rFonts w:ascii="Symbol" w:hAnsi="Symbol" w:hint="default"/>
      </w:rPr>
    </w:lvl>
    <w:lvl w:ilvl="7" w:tplc="041A0003" w:tentative="1">
      <w:start w:val="1"/>
      <w:numFmt w:val="bullet"/>
      <w:lvlText w:val="o"/>
      <w:lvlJc w:val="left"/>
      <w:pPr>
        <w:ind w:left="6258" w:hanging="360"/>
      </w:pPr>
      <w:rPr>
        <w:rFonts w:ascii="Courier New" w:hAnsi="Courier New" w:cs="Courier New" w:hint="default"/>
      </w:rPr>
    </w:lvl>
    <w:lvl w:ilvl="8" w:tplc="041A0005" w:tentative="1">
      <w:start w:val="1"/>
      <w:numFmt w:val="bullet"/>
      <w:lvlText w:val=""/>
      <w:lvlJc w:val="left"/>
      <w:pPr>
        <w:ind w:left="6978" w:hanging="360"/>
      </w:pPr>
      <w:rPr>
        <w:rFonts w:ascii="Wingdings" w:hAnsi="Wingdings" w:hint="default"/>
      </w:rPr>
    </w:lvl>
  </w:abstractNum>
  <w:abstractNum w:abstractNumId="1">
    <w:nsid w:val="0D034CF8"/>
    <w:multiLevelType w:val="hybridMultilevel"/>
    <w:tmpl w:val="F41C74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0151E7"/>
    <w:multiLevelType w:val="hybridMultilevel"/>
    <w:tmpl w:val="CBF2A3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20252C8"/>
    <w:multiLevelType w:val="hybridMultilevel"/>
    <w:tmpl w:val="5A722F2C"/>
    <w:lvl w:ilvl="0" w:tplc="12468B1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6890958"/>
    <w:multiLevelType w:val="hybridMultilevel"/>
    <w:tmpl w:val="12B618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9B40E04"/>
    <w:multiLevelType w:val="hybridMultilevel"/>
    <w:tmpl w:val="A7A261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FB084A"/>
    <w:multiLevelType w:val="hybridMultilevel"/>
    <w:tmpl w:val="0A8CE6D0"/>
    <w:lvl w:ilvl="0" w:tplc="041A0001">
      <w:start w:val="1"/>
      <w:numFmt w:val="bullet"/>
      <w:lvlText w:val=""/>
      <w:lvlJc w:val="left"/>
      <w:pPr>
        <w:ind w:left="502" w:hanging="360"/>
      </w:pPr>
      <w:rPr>
        <w:rFonts w:ascii="Symbol" w:hAnsi="Symbol" w:hint="default"/>
      </w:rPr>
    </w:lvl>
    <w:lvl w:ilvl="1" w:tplc="041A0003">
      <w:start w:val="1"/>
      <w:numFmt w:val="bullet"/>
      <w:lvlText w:val="o"/>
      <w:lvlJc w:val="left"/>
      <w:pPr>
        <w:ind w:left="644"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3033629E"/>
    <w:multiLevelType w:val="hybridMultilevel"/>
    <w:tmpl w:val="2F3EA6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41CB546E"/>
    <w:multiLevelType w:val="hybridMultilevel"/>
    <w:tmpl w:val="A44EF6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49AA4B4D"/>
    <w:multiLevelType w:val="hybridMultilevel"/>
    <w:tmpl w:val="89E6A4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51B978FA"/>
    <w:multiLevelType w:val="hybridMultilevel"/>
    <w:tmpl w:val="43B4DC38"/>
    <w:lvl w:ilvl="0" w:tplc="041A0003">
      <w:start w:val="1"/>
      <w:numFmt w:val="bullet"/>
      <w:lvlText w:val="o"/>
      <w:lvlJc w:val="left"/>
      <w:pPr>
        <w:ind w:left="1068" w:hanging="360"/>
      </w:pPr>
      <w:rPr>
        <w:rFonts w:ascii="Courier New" w:hAnsi="Courier New" w:cs="Courier New"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nsid w:val="656176EF"/>
    <w:multiLevelType w:val="hybridMultilevel"/>
    <w:tmpl w:val="215C0A4E"/>
    <w:lvl w:ilvl="0" w:tplc="D6A03D82">
      <w:start w:val="1"/>
      <w:numFmt w:val="decimal"/>
      <w:lvlText w:val="%1."/>
      <w:lvlJc w:val="left"/>
      <w:pPr>
        <w:ind w:left="720" w:hanging="360"/>
      </w:pPr>
      <w:rPr>
        <w:rFonts w:cs="Times New Roman"/>
        <w:sz w:val="22"/>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769B68AB"/>
    <w:multiLevelType w:val="hybridMultilevel"/>
    <w:tmpl w:val="D27EC6FA"/>
    <w:lvl w:ilvl="0" w:tplc="8FF4EE5C">
      <w:start w:val="15"/>
      <w:numFmt w:val="bullet"/>
      <w:lvlText w:val=""/>
      <w:lvlJc w:val="left"/>
      <w:pPr>
        <w:ind w:left="720" w:hanging="360"/>
      </w:pPr>
      <w:rPr>
        <w:rFonts w:ascii="Symbol" w:eastAsia="Times New Roman"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12"/>
  </w:num>
  <w:num w:numId="5">
    <w:abstractNumId w:val="7"/>
  </w:num>
  <w:num w:numId="6">
    <w:abstractNumId w:val="0"/>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9"/>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40A"/>
    <w:rsid w:val="00015067"/>
    <w:rsid w:val="00015229"/>
    <w:rsid w:val="00033964"/>
    <w:rsid w:val="000532B2"/>
    <w:rsid w:val="000729BE"/>
    <w:rsid w:val="000779A5"/>
    <w:rsid w:val="000A2392"/>
    <w:rsid w:val="000B30DB"/>
    <w:rsid w:val="000C5C61"/>
    <w:rsid w:val="000E33F6"/>
    <w:rsid w:val="000F32DB"/>
    <w:rsid w:val="00104C92"/>
    <w:rsid w:val="001069C6"/>
    <w:rsid w:val="00122B6B"/>
    <w:rsid w:val="0013308C"/>
    <w:rsid w:val="0016613C"/>
    <w:rsid w:val="00171B49"/>
    <w:rsid w:val="0018073D"/>
    <w:rsid w:val="0018083C"/>
    <w:rsid w:val="001931F1"/>
    <w:rsid w:val="001C4FD5"/>
    <w:rsid w:val="001C5FE7"/>
    <w:rsid w:val="001F2201"/>
    <w:rsid w:val="002072FF"/>
    <w:rsid w:val="00225F5B"/>
    <w:rsid w:val="002410CA"/>
    <w:rsid w:val="00267DC5"/>
    <w:rsid w:val="00270E61"/>
    <w:rsid w:val="00272B12"/>
    <w:rsid w:val="00287117"/>
    <w:rsid w:val="00295988"/>
    <w:rsid w:val="002A4043"/>
    <w:rsid w:val="002C1131"/>
    <w:rsid w:val="002E00FC"/>
    <w:rsid w:val="00304B1D"/>
    <w:rsid w:val="00315A52"/>
    <w:rsid w:val="00332EA1"/>
    <w:rsid w:val="00333295"/>
    <w:rsid w:val="0037393A"/>
    <w:rsid w:val="003D4A49"/>
    <w:rsid w:val="003E0D9C"/>
    <w:rsid w:val="003E708A"/>
    <w:rsid w:val="003F2984"/>
    <w:rsid w:val="00403FBA"/>
    <w:rsid w:val="00421404"/>
    <w:rsid w:val="00427A35"/>
    <w:rsid w:val="00457858"/>
    <w:rsid w:val="00471564"/>
    <w:rsid w:val="004B6DFB"/>
    <w:rsid w:val="004C144B"/>
    <w:rsid w:val="004F14ED"/>
    <w:rsid w:val="004F5094"/>
    <w:rsid w:val="00514A5D"/>
    <w:rsid w:val="00532BE2"/>
    <w:rsid w:val="0054591C"/>
    <w:rsid w:val="00564053"/>
    <w:rsid w:val="005B210E"/>
    <w:rsid w:val="005C536A"/>
    <w:rsid w:val="005D2208"/>
    <w:rsid w:val="005E2559"/>
    <w:rsid w:val="006273CD"/>
    <w:rsid w:val="00627A3A"/>
    <w:rsid w:val="006A24B0"/>
    <w:rsid w:val="006C5ADC"/>
    <w:rsid w:val="006C5FCC"/>
    <w:rsid w:val="006E6FC5"/>
    <w:rsid w:val="006F1243"/>
    <w:rsid w:val="00702F22"/>
    <w:rsid w:val="0071189F"/>
    <w:rsid w:val="007417A1"/>
    <w:rsid w:val="007439B8"/>
    <w:rsid w:val="007450AC"/>
    <w:rsid w:val="007570DB"/>
    <w:rsid w:val="00763267"/>
    <w:rsid w:val="00767A6E"/>
    <w:rsid w:val="00781DD6"/>
    <w:rsid w:val="007B4484"/>
    <w:rsid w:val="007B5CF4"/>
    <w:rsid w:val="007C2078"/>
    <w:rsid w:val="007C6274"/>
    <w:rsid w:val="007D478D"/>
    <w:rsid w:val="007E6D70"/>
    <w:rsid w:val="007F685D"/>
    <w:rsid w:val="007F7199"/>
    <w:rsid w:val="00815457"/>
    <w:rsid w:val="00817198"/>
    <w:rsid w:val="00842BA9"/>
    <w:rsid w:val="00886B02"/>
    <w:rsid w:val="00894557"/>
    <w:rsid w:val="008A1A57"/>
    <w:rsid w:val="008A44C3"/>
    <w:rsid w:val="008F6395"/>
    <w:rsid w:val="00912568"/>
    <w:rsid w:val="00926847"/>
    <w:rsid w:val="00931D82"/>
    <w:rsid w:val="009340F7"/>
    <w:rsid w:val="00947546"/>
    <w:rsid w:val="00964539"/>
    <w:rsid w:val="00975E31"/>
    <w:rsid w:val="009C0093"/>
    <w:rsid w:val="009D4328"/>
    <w:rsid w:val="009D6AFE"/>
    <w:rsid w:val="009D7A36"/>
    <w:rsid w:val="009E0809"/>
    <w:rsid w:val="00A41D25"/>
    <w:rsid w:val="00A51167"/>
    <w:rsid w:val="00A712E2"/>
    <w:rsid w:val="00A7369A"/>
    <w:rsid w:val="00A742C3"/>
    <w:rsid w:val="00A811BC"/>
    <w:rsid w:val="00AD2F45"/>
    <w:rsid w:val="00AE013C"/>
    <w:rsid w:val="00AF534E"/>
    <w:rsid w:val="00B311CD"/>
    <w:rsid w:val="00B54D95"/>
    <w:rsid w:val="00B9540A"/>
    <w:rsid w:val="00B97BB8"/>
    <w:rsid w:val="00BA7B3D"/>
    <w:rsid w:val="00BB0AD3"/>
    <w:rsid w:val="00BE3856"/>
    <w:rsid w:val="00C112F2"/>
    <w:rsid w:val="00C132E3"/>
    <w:rsid w:val="00C5060A"/>
    <w:rsid w:val="00C5205A"/>
    <w:rsid w:val="00C52F17"/>
    <w:rsid w:val="00C64EF3"/>
    <w:rsid w:val="00C77905"/>
    <w:rsid w:val="00C82C50"/>
    <w:rsid w:val="00C90BAE"/>
    <w:rsid w:val="00CC0D57"/>
    <w:rsid w:val="00D46A62"/>
    <w:rsid w:val="00D82714"/>
    <w:rsid w:val="00D904F9"/>
    <w:rsid w:val="00DA1D1F"/>
    <w:rsid w:val="00DC1796"/>
    <w:rsid w:val="00DC20E4"/>
    <w:rsid w:val="00DC220B"/>
    <w:rsid w:val="00DC4164"/>
    <w:rsid w:val="00DC7C19"/>
    <w:rsid w:val="00DF2F7D"/>
    <w:rsid w:val="00E00CD8"/>
    <w:rsid w:val="00E27A52"/>
    <w:rsid w:val="00E41DDC"/>
    <w:rsid w:val="00E43671"/>
    <w:rsid w:val="00E464B5"/>
    <w:rsid w:val="00E660BE"/>
    <w:rsid w:val="00E66DF9"/>
    <w:rsid w:val="00E93789"/>
    <w:rsid w:val="00ED0F08"/>
    <w:rsid w:val="00ED12B7"/>
    <w:rsid w:val="00EE42D6"/>
    <w:rsid w:val="00EF313B"/>
    <w:rsid w:val="00F0653F"/>
    <w:rsid w:val="00F158E0"/>
    <w:rsid w:val="00F3464A"/>
    <w:rsid w:val="00F539B8"/>
    <w:rsid w:val="00F57C7D"/>
    <w:rsid w:val="00F60EB2"/>
    <w:rsid w:val="00F70DC8"/>
    <w:rsid w:val="00F959ED"/>
    <w:rsid w:val="00FA51A7"/>
    <w:rsid w:val="00FB7CF9"/>
    <w:rsid w:val="00FD025F"/>
    <w:rsid w:val="00FF6A8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A1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C5205A"/>
    <w:pPr>
      <w:jc w:val="both"/>
    </w:pPr>
    <w:rPr>
      <w:sz w:val="24"/>
      <w:szCs w:val="24"/>
      <w:lang w:eastAsia="en-US"/>
    </w:rPr>
  </w:style>
  <w:style w:type="paragraph" w:styleId="Naslov3">
    <w:name w:val="heading 3"/>
    <w:basedOn w:val="Normal"/>
    <w:next w:val="Normal"/>
    <w:link w:val="Naslov3Char"/>
    <w:uiPriority w:val="9"/>
    <w:unhideWhenUsed/>
    <w:qFormat/>
    <w:rsid w:val="00886B02"/>
    <w:pPr>
      <w:keepNext/>
      <w:keepLines/>
      <w:spacing w:before="200" w:line="276" w:lineRule="auto"/>
      <w:jc w:val="left"/>
      <w:outlineLvl w:val="2"/>
    </w:pPr>
    <w:rPr>
      <w:rFonts w:asciiTheme="majorHAnsi" w:eastAsiaTheme="majorEastAsia" w:hAnsiTheme="majorHAnsi" w:cstheme="majorBidi"/>
      <w:b/>
      <w:bCs/>
      <w:color w:val="4F81BD" w:themeColor="accent1"/>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rsid w:val="00C5205A"/>
    <w:pPr>
      <w:ind w:firstLine="720"/>
    </w:pPr>
    <w:rPr>
      <w:rFonts w:ascii="Comic Sans MS" w:hAnsi="Comic Sans MS" w:cs="Tahoma"/>
      <w:noProof/>
      <w:sz w:val="20"/>
    </w:rPr>
  </w:style>
  <w:style w:type="character" w:styleId="Hiperveza">
    <w:name w:val="Hyperlink"/>
    <w:basedOn w:val="Zadanifontodlomka"/>
    <w:rsid w:val="00C5205A"/>
    <w:rPr>
      <w:color w:val="0000FF"/>
      <w:u w:val="single"/>
    </w:rPr>
  </w:style>
  <w:style w:type="character" w:styleId="SlijeenaHiperveza">
    <w:name w:val="FollowedHyperlink"/>
    <w:basedOn w:val="Zadanifontodlomka"/>
    <w:rsid w:val="00C5205A"/>
    <w:rPr>
      <w:color w:val="800080"/>
      <w:u w:val="single"/>
    </w:rPr>
  </w:style>
  <w:style w:type="paragraph" w:styleId="Tekstbalonia">
    <w:name w:val="Balloon Text"/>
    <w:basedOn w:val="Normal"/>
    <w:semiHidden/>
    <w:rsid w:val="006E6FC5"/>
    <w:rPr>
      <w:rFonts w:ascii="Tahoma" w:hAnsi="Tahoma" w:cs="Tahoma"/>
      <w:sz w:val="16"/>
      <w:szCs w:val="16"/>
    </w:rPr>
  </w:style>
  <w:style w:type="table" w:styleId="Reetkatablice">
    <w:name w:val="Table Grid"/>
    <w:basedOn w:val="Obinatablica"/>
    <w:rsid w:val="00270E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Istaknuto">
    <w:name w:val="Emphasis"/>
    <w:basedOn w:val="Zadanifontodlomka"/>
    <w:uiPriority w:val="20"/>
    <w:qFormat/>
    <w:rsid w:val="007417A1"/>
    <w:rPr>
      <w:b/>
      <w:bCs/>
      <w:i w:val="0"/>
      <w:iCs w:val="0"/>
    </w:rPr>
  </w:style>
  <w:style w:type="character" w:customStyle="1" w:styleId="shorttext">
    <w:name w:val="short_text"/>
    <w:basedOn w:val="Zadanifontodlomka"/>
    <w:rsid w:val="007C6274"/>
  </w:style>
  <w:style w:type="character" w:customStyle="1" w:styleId="OdlomakpopisaChar">
    <w:name w:val="Odlomak popisa Char"/>
    <w:link w:val="Odlomakpopisa"/>
    <w:uiPriority w:val="99"/>
    <w:qFormat/>
    <w:rsid w:val="00403FBA"/>
    <w:rPr>
      <w:sz w:val="24"/>
      <w:szCs w:val="24"/>
      <w:lang w:val="de-DE"/>
    </w:rPr>
  </w:style>
  <w:style w:type="paragraph" w:styleId="Odlomakpopisa">
    <w:name w:val="List Paragraph"/>
    <w:basedOn w:val="Normal"/>
    <w:link w:val="OdlomakpopisaChar"/>
    <w:uiPriority w:val="99"/>
    <w:qFormat/>
    <w:rsid w:val="00403FBA"/>
    <w:pPr>
      <w:spacing w:before="120"/>
      <w:ind w:left="708" w:firstLine="709"/>
    </w:pPr>
    <w:rPr>
      <w:lang w:val="de-DE"/>
    </w:rPr>
  </w:style>
  <w:style w:type="paragraph" w:styleId="Zaglavlje">
    <w:name w:val="header"/>
    <w:basedOn w:val="Normal"/>
    <w:link w:val="ZaglavljeChar"/>
    <w:rsid w:val="00B54D95"/>
    <w:pPr>
      <w:tabs>
        <w:tab w:val="center" w:pos="4536"/>
        <w:tab w:val="right" w:pos="9072"/>
      </w:tabs>
    </w:pPr>
  </w:style>
  <w:style w:type="character" w:customStyle="1" w:styleId="ZaglavljeChar">
    <w:name w:val="Zaglavlje Char"/>
    <w:basedOn w:val="Zadanifontodlomka"/>
    <w:link w:val="Zaglavlje"/>
    <w:rsid w:val="00B54D95"/>
    <w:rPr>
      <w:sz w:val="24"/>
      <w:szCs w:val="24"/>
      <w:lang w:eastAsia="en-US"/>
    </w:rPr>
  </w:style>
  <w:style w:type="paragraph" w:styleId="Podnoje">
    <w:name w:val="footer"/>
    <w:basedOn w:val="Normal"/>
    <w:link w:val="PodnojeChar"/>
    <w:rsid w:val="00B54D95"/>
    <w:pPr>
      <w:tabs>
        <w:tab w:val="center" w:pos="4536"/>
        <w:tab w:val="right" w:pos="9072"/>
      </w:tabs>
    </w:pPr>
  </w:style>
  <w:style w:type="character" w:customStyle="1" w:styleId="PodnojeChar">
    <w:name w:val="Podnožje Char"/>
    <w:basedOn w:val="Zadanifontodlomka"/>
    <w:link w:val="Podnoje"/>
    <w:rsid w:val="00B54D95"/>
    <w:rPr>
      <w:sz w:val="24"/>
      <w:szCs w:val="24"/>
      <w:lang w:eastAsia="en-US"/>
    </w:rPr>
  </w:style>
  <w:style w:type="paragraph" w:customStyle="1" w:styleId="SubTitle2">
    <w:name w:val="SubTitle 2"/>
    <w:basedOn w:val="Normal"/>
    <w:rsid w:val="00DF2F7D"/>
    <w:pPr>
      <w:snapToGrid w:val="0"/>
      <w:spacing w:after="240"/>
      <w:jc w:val="center"/>
    </w:pPr>
    <w:rPr>
      <w:b/>
      <w:sz w:val="32"/>
      <w:szCs w:val="20"/>
    </w:rPr>
  </w:style>
  <w:style w:type="paragraph" w:styleId="StandardWeb">
    <w:name w:val="Normal (Web)"/>
    <w:basedOn w:val="Normal"/>
    <w:uiPriority w:val="99"/>
    <w:unhideWhenUsed/>
    <w:rsid w:val="00C112F2"/>
    <w:pPr>
      <w:spacing w:before="100" w:beforeAutospacing="1" w:after="100" w:afterAutospacing="1"/>
      <w:jc w:val="left"/>
    </w:pPr>
    <w:rPr>
      <w:lang w:eastAsia="hr-HR"/>
    </w:rPr>
  </w:style>
  <w:style w:type="character" w:styleId="Naglaeno">
    <w:name w:val="Strong"/>
    <w:basedOn w:val="Zadanifontodlomka"/>
    <w:uiPriority w:val="22"/>
    <w:qFormat/>
    <w:rsid w:val="00C112F2"/>
    <w:rPr>
      <w:b/>
      <w:bCs/>
    </w:rPr>
  </w:style>
  <w:style w:type="character" w:customStyle="1" w:styleId="bzpyqfadein">
    <w:name w:val="bz_pyq_fadein"/>
    <w:basedOn w:val="Zadanifontodlomka"/>
    <w:rsid w:val="00C112F2"/>
  </w:style>
  <w:style w:type="character" w:customStyle="1" w:styleId="Naslov3Char">
    <w:name w:val="Naslov 3 Char"/>
    <w:basedOn w:val="Zadanifontodlomka"/>
    <w:link w:val="Naslov3"/>
    <w:uiPriority w:val="9"/>
    <w:rsid w:val="00886B02"/>
    <w:rPr>
      <w:rFonts w:asciiTheme="majorHAnsi" w:eastAsiaTheme="majorEastAsia" w:hAnsiTheme="majorHAnsi" w:cstheme="majorBidi"/>
      <w:b/>
      <w:bCs/>
      <w:color w:val="4F81BD" w:themeColor="accent1"/>
      <w:sz w:val="22"/>
      <w:szCs w:val="22"/>
      <w:lang w:eastAsia="en-US"/>
    </w:rPr>
  </w:style>
  <w:style w:type="paragraph" w:customStyle="1" w:styleId="isselectedend">
    <w:name w:val="isselectedend"/>
    <w:basedOn w:val="Normal"/>
    <w:rsid w:val="00947546"/>
    <w:pPr>
      <w:spacing w:before="100" w:beforeAutospacing="1" w:after="100" w:afterAutospacing="1"/>
      <w:jc w:val="left"/>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C5205A"/>
    <w:pPr>
      <w:jc w:val="both"/>
    </w:pPr>
    <w:rPr>
      <w:sz w:val="24"/>
      <w:szCs w:val="24"/>
      <w:lang w:eastAsia="en-US"/>
    </w:rPr>
  </w:style>
  <w:style w:type="paragraph" w:styleId="Naslov3">
    <w:name w:val="heading 3"/>
    <w:basedOn w:val="Normal"/>
    <w:next w:val="Normal"/>
    <w:link w:val="Naslov3Char"/>
    <w:uiPriority w:val="9"/>
    <w:unhideWhenUsed/>
    <w:qFormat/>
    <w:rsid w:val="00886B02"/>
    <w:pPr>
      <w:keepNext/>
      <w:keepLines/>
      <w:spacing w:before="200" w:line="276" w:lineRule="auto"/>
      <w:jc w:val="left"/>
      <w:outlineLvl w:val="2"/>
    </w:pPr>
    <w:rPr>
      <w:rFonts w:asciiTheme="majorHAnsi" w:eastAsiaTheme="majorEastAsia" w:hAnsiTheme="majorHAnsi" w:cstheme="majorBidi"/>
      <w:b/>
      <w:bCs/>
      <w:color w:val="4F81BD" w:themeColor="accent1"/>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rsid w:val="00C5205A"/>
    <w:pPr>
      <w:ind w:firstLine="720"/>
    </w:pPr>
    <w:rPr>
      <w:rFonts w:ascii="Comic Sans MS" w:hAnsi="Comic Sans MS" w:cs="Tahoma"/>
      <w:noProof/>
      <w:sz w:val="20"/>
    </w:rPr>
  </w:style>
  <w:style w:type="character" w:styleId="Hiperveza">
    <w:name w:val="Hyperlink"/>
    <w:basedOn w:val="Zadanifontodlomka"/>
    <w:rsid w:val="00C5205A"/>
    <w:rPr>
      <w:color w:val="0000FF"/>
      <w:u w:val="single"/>
    </w:rPr>
  </w:style>
  <w:style w:type="character" w:styleId="SlijeenaHiperveza">
    <w:name w:val="FollowedHyperlink"/>
    <w:basedOn w:val="Zadanifontodlomka"/>
    <w:rsid w:val="00C5205A"/>
    <w:rPr>
      <w:color w:val="800080"/>
      <w:u w:val="single"/>
    </w:rPr>
  </w:style>
  <w:style w:type="paragraph" w:styleId="Tekstbalonia">
    <w:name w:val="Balloon Text"/>
    <w:basedOn w:val="Normal"/>
    <w:semiHidden/>
    <w:rsid w:val="006E6FC5"/>
    <w:rPr>
      <w:rFonts w:ascii="Tahoma" w:hAnsi="Tahoma" w:cs="Tahoma"/>
      <w:sz w:val="16"/>
      <w:szCs w:val="16"/>
    </w:rPr>
  </w:style>
  <w:style w:type="table" w:styleId="Reetkatablice">
    <w:name w:val="Table Grid"/>
    <w:basedOn w:val="Obinatablica"/>
    <w:rsid w:val="00270E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Istaknuto">
    <w:name w:val="Emphasis"/>
    <w:basedOn w:val="Zadanifontodlomka"/>
    <w:uiPriority w:val="20"/>
    <w:qFormat/>
    <w:rsid w:val="007417A1"/>
    <w:rPr>
      <w:b/>
      <w:bCs/>
      <w:i w:val="0"/>
      <w:iCs w:val="0"/>
    </w:rPr>
  </w:style>
  <w:style w:type="character" w:customStyle="1" w:styleId="shorttext">
    <w:name w:val="short_text"/>
    <w:basedOn w:val="Zadanifontodlomka"/>
    <w:rsid w:val="007C6274"/>
  </w:style>
  <w:style w:type="character" w:customStyle="1" w:styleId="OdlomakpopisaChar">
    <w:name w:val="Odlomak popisa Char"/>
    <w:link w:val="Odlomakpopisa"/>
    <w:uiPriority w:val="99"/>
    <w:qFormat/>
    <w:rsid w:val="00403FBA"/>
    <w:rPr>
      <w:sz w:val="24"/>
      <w:szCs w:val="24"/>
      <w:lang w:val="de-DE"/>
    </w:rPr>
  </w:style>
  <w:style w:type="paragraph" w:styleId="Odlomakpopisa">
    <w:name w:val="List Paragraph"/>
    <w:basedOn w:val="Normal"/>
    <w:link w:val="OdlomakpopisaChar"/>
    <w:uiPriority w:val="99"/>
    <w:qFormat/>
    <w:rsid w:val="00403FBA"/>
    <w:pPr>
      <w:spacing w:before="120"/>
      <w:ind w:left="708" w:firstLine="709"/>
    </w:pPr>
    <w:rPr>
      <w:lang w:val="de-DE"/>
    </w:rPr>
  </w:style>
  <w:style w:type="paragraph" w:styleId="Zaglavlje">
    <w:name w:val="header"/>
    <w:basedOn w:val="Normal"/>
    <w:link w:val="ZaglavljeChar"/>
    <w:rsid w:val="00B54D95"/>
    <w:pPr>
      <w:tabs>
        <w:tab w:val="center" w:pos="4536"/>
        <w:tab w:val="right" w:pos="9072"/>
      </w:tabs>
    </w:pPr>
  </w:style>
  <w:style w:type="character" w:customStyle="1" w:styleId="ZaglavljeChar">
    <w:name w:val="Zaglavlje Char"/>
    <w:basedOn w:val="Zadanifontodlomka"/>
    <w:link w:val="Zaglavlje"/>
    <w:rsid w:val="00B54D95"/>
    <w:rPr>
      <w:sz w:val="24"/>
      <w:szCs w:val="24"/>
      <w:lang w:eastAsia="en-US"/>
    </w:rPr>
  </w:style>
  <w:style w:type="paragraph" w:styleId="Podnoje">
    <w:name w:val="footer"/>
    <w:basedOn w:val="Normal"/>
    <w:link w:val="PodnojeChar"/>
    <w:rsid w:val="00B54D95"/>
    <w:pPr>
      <w:tabs>
        <w:tab w:val="center" w:pos="4536"/>
        <w:tab w:val="right" w:pos="9072"/>
      </w:tabs>
    </w:pPr>
  </w:style>
  <w:style w:type="character" w:customStyle="1" w:styleId="PodnojeChar">
    <w:name w:val="Podnožje Char"/>
    <w:basedOn w:val="Zadanifontodlomka"/>
    <w:link w:val="Podnoje"/>
    <w:rsid w:val="00B54D95"/>
    <w:rPr>
      <w:sz w:val="24"/>
      <w:szCs w:val="24"/>
      <w:lang w:eastAsia="en-US"/>
    </w:rPr>
  </w:style>
  <w:style w:type="paragraph" w:customStyle="1" w:styleId="SubTitle2">
    <w:name w:val="SubTitle 2"/>
    <w:basedOn w:val="Normal"/>
    <w:rsid w:val="00DF2F7D"/>
    <w:pPr>
      <w:snapToGrid w:val="0"/>
      <w:spacing w:after="240"/>
      <w:jc w:val="center"/>
    </w:pPr>
    <w:rPr>
      <w:b/>
      <w:sz w:val="32"/>
      <w:szCs w:val="20"/>
    </w:rPr>
  </w:style>
  <w:style w:type="paragraph" w:styleId="StandardWeb">
    <w:name w:val="Normal (Web)"/>
    <w:basedOn w:val="Normal"/>
    <w:uiPriority w:val="99"/>
    <w:unhideWhenUsed/>
    <w:rsid w:val="00C112F2"/>
    <w:pPr>
      <w:spacing w:before="100" w:beforeAutospacing="1" w:after="100" w:afterAutospacing="1"/>
      <w:jc w:val="left"/>
    </w:pPr>
    <w:rPr>
      <w:lang w:eastAsia="hr-HR"/>
    </w:rPr>
  </w:style>
  <w:style w:type="character" w:styleId="Naglaeno">
    <w:name w:val="Strong"/>
    <w:basedOn w:val="Zadanifontodlomka"/>
    <w:uiPriority w:val="22"/>
    <w:qFormat/>
    <w:rsid w:val="00C112F2"/>
    <w:rPr>
      <w:b/>
      <w:bCs/>
    </w:rPr>
  </w:style>
  <w:style w:type="character" w:customStyle="1" w:styleId="bzpyqfadein">
    <w:name w:val="bz_pyq_fadein"/>
    <w:basedOn w:val="Zadanifontodlomka"/>
    <w:rsid w:val="00C112F2"/>
  </w:style>
  <w:style w:type="character" w:customStyle="1" w:styleId="Naslov3Char">
    <w:name w:val="Naslov 3 Char"/>
    <w:basedOn w:val="Zadanifontodlomka"/>
    <w:link w:val="Naslov3"/>
    <w:uiPriority w:val="9"/>
    <w:rsid w:val="00886B02"/>
    <w:rPr>
      <w:rFonts w:asciiTheme="majorHAnsi" w:eastAsiaTheme="majorEastAsia" w:hAnsiTheme="majorHAnsi" w:cstheme="majorBidi"/>
      <w:b/>
      <w:bCs/>
      <w:color w:val="4F81BD" w:themeColor="accent1"/>
      <w:sz w:val="22"/>
      <w:szCs w:val="22"/>
      <w:lang w:eastAsia="en-US"/>
    </w:rPr>
  </w:style>
  <w:style w:type="paragraph" w:customStyle="1" w:styleId="isselectedend">
    <w:name w:val="isselectedend"/>
    <w:basedOn w:val="Normal"/>
    <w:rsid w:val="00947546"/>
    <w:pPr>
      <w:spacing w:before="100" w:beforeAutospacing="1" w:after="100" w:afterAutospacing="1"/>
      <w:jc w:val="left"/>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88612">
      <w:bodyDiv w:val="1"/>
      <w:marLeft w:val="0"/>
      <w:marRight w:val="0"/>
      <w:marTop w:val="0"/>
      <w:marBottom w:val="0"/>
      <w:divBdr>
        <w:top w:val="none" w:sz="0" w:space="0" w:color="auto"/>
        <w:left w:val="none" w:sz="0" w:space="0" w:color="auto"/>
        <w:bottom w:val="none" w:sz="0" w:space="0" w:color="auto"/>
        <w:right w:val="none" w:sz="0" w:space="0" w:color="auto"/>
      </w:divBdr>
    </w:div>
    <w:div w:id="155457197">
      <w:bodyDiv w:val="1"/>
      <w:marLeft w:val="0"/>
      <w:marRight w:val="0"/>
      <w:marTop w:val="0"/>
      <w:marBottom w:val="0"/>
      <w:divBdr>
        <w:top w:val="none" w:sz="0" w:space="0" w:color="auto"/>
        <w:left w:val="none" w:sz="0" w:space="0" w:color="auto"/>
        <w:bottom w:val="none" w:sz="0" w:space="0" w:color="auto"/>
        <w:right w:val="none" w:sz="0" w:space="0" w:color="auto"/>
      </w:divBdr>
    </w:div>
    <w:div w:id="180289931">
      <w:bodyDiv w:val="1"/>
      <w:marLeft w:val="0"/>
      <w:marRight w:val="0"/>
      <w:marTop w:val="0"/>
      <w:marBottom w:val="0"/>
      <w:divBdr>
        <w:top w:val="none" w:sz="0" w:space="0" w:color="auto"/>
        <w:left w:val="none" w:sz="0" w:space="0" w:color="auto"/>
        <w:bottom w:val="none" w:sz="0" w:space="0" w:color="auto"/>
        <w:right w:val="none" w:sz="0" w:space="0" w:color="auto"/>
      </w:divBdr>
    </w:div>
    <w:div w:id="249236770">
      <w:bodyDiv w:val="1"/>
      <w:marLeft w:val="0"/>
      <w:marRight w:val="0"/>
      <w:marTop w:val="0"/>
      <w:marBottom w:val="0"/>
      <w:divBdr>
        <w:top w:val="none" w:sz="0" w:space="0" w:color="auto"/>
        <w:left w:val="none" w:sz="0" w:space="0" w:color="auto"/>
        <w:bottom w:val="none" w:sz="0" w:space="0" w:color="auto"/>
        <w:right w:val="none" w:sz="0" w:space="0" w:color="auto"/>
      </w:divBdr>
    </w:div>
    <w:div w:id="249242382">
      <w:bodyDiv w:val="1"/>
      <w:marLeft w:val="0"/>
      <w:marRight w:val="0"/>
      <w:marTop w:val="0"/>
      <w:marBottom w:val="0"/>
      <w:divBdr>
        <w:top w:val="none" w:sz="0" w:space="0" w:color="auto"/>
        <w:left w:val="none" w:sz="0" w:space="0" w:color="auto"/>
        <w:bottom w:val="none" w:sz="0" w:space="0" w:color="auto"/>
        <w:right w:val="none" w:sz="0" w:space="0" w:color="auto"/>
      </w:divBdr>
    </w:div>
    <w:div w:id="268784694">
      <w:bodyDiv w:val="1"/>
      <w:marLeft w:val="0"/>
      <w:marRight w:val="0"/>
      <w:marTop w:val="0"/>
      <w:marBottom w:val="0"/>
      <w:divBdr>
        <w:top w:val="none" w:sz="0" w:space="0" w:color="auto"/>
        <w:left w:val="none" w:sz="0" w:space="0" w:color="auto"/>
        <w:bottom w:val="none" w:sz="0" w:space="0" w:color="auto"/>
        <w:right w:val="none" w:sz="0" w:space="0" w:color="auto"/>
      </w:divBdr>
    </w:div>
    <w:div w:id="274017882">
      <w:bodyDiv w:val="1"/>
      <w:marLeft w:val="0"/>
      <w:marRight w:val="0"/>
      <w:marTop w:val="0"/>
      <w:marBottom w:val="0"/>
      <w:divBdr>
        <w:top w:val="none" w:sz="0" w:space="0" w:color="auto"/>
        <w:left w:val="none" w:sz="0" w:space="0" w:color="auto"/>
        <w:bottom w:val="none" w:sz="0" w:space="0" w:color="auto"/>
        <w:right w:val="none" w:sz="0" w:space="0" w:color="auto"/>
      </w:divBdr>
    </w:div>
    <w:div w:id="371997379">
      <w:bodyDiv w:val="1"/>
      <w:marLeft w:val="0"/>
      <w:marRight w:val="0"/>
      <w:marTop w:val="0"/>
      <w:marBottom w:val="0"/>
      <w:divBdr>
        <w:top w:val="none" w:sz="0" w:space="0" w:color="auto"/>
        <w:left w:val="none" w:sz="0" w:space="0" w:color="auto"/>
        <w:bottom w:val="none" w:sz="0" w:space="0" w:color="auto"/>
        <w:right w:val="none" w:sz="0" w:space="0" w:color="auto"/>
      </w:divBdr>
    </w:div>
    <w:div w:id="401221800">
      <w:bodyDiv w:val="1"/>
      <w:marLeft w:val="0"/>
      <w:marRight w:val="0"/>
      <w:marTop w:val="0"/>
      <w:marBottom w:val="0"/>
      <w:divBdr>
        <w:top w:val="none" w:sz="0" w:space="0" w:color="auto"/>
        <w:left w:val="none" w:sz="0" w:space="0" w:color="auto"/>
        <w:bottom w:val="none" w:sz="0" w:space="0" w:color="auto"/>
        <w:right w:val="none" w:sz="0" w:space="0" w:color="auto"/>
      </w:divBdr>
    </w:div>
    <w:div w:id="416488680">
      <w:bodyDiv w:val="1"/>
      <w:marLeft w:val="0"/>
      <w:marRight w:val="0"/>
      <w:marTop w:val="0"/>
      <w:marBottom w:val="0"/>
      <w:divBdr>
        <w:top w:val="none" w:sz="0" w:space="0" w:color="auto"/>
        <w:left w:val="none" w:sz="0" w:space="0" w:color="auto"/>
        <w:bottom w:val="none" w:sz="0" w:space="0" w:color="auto"/>
        <w:right w:val="none" w:sz="0" w:space="0" w:color="auto"/>
      </w:divBdr>
    </w:div>
    <w:div w:id="437869010">
      <w:bodyDiv w:val="1"/>
      <w:marLeft w:val="0"/>
      <w:marRight w:val="0"/>
      <w:marTop w:val="0"/>
      <w:marBottom w:val="0"/>
      <w:divBdr>
        <w:top w:val="none" w:sz="0" w:space="0" w:color="auto"/>
        <w:left w:val="none" w:sz="0" w:space="0" w:color="auto"/>
        <w:bottom w:val="none" w:sz="0" w:space="0" w:color="auto"/>
        <w:right w:val="none" w:sz="0" w:space="0" w:color="auto"/>
      </w:divBdr>
    </w:div>
    <w:div w:id="530068553">
      <w:bodyDiv w:val="1"/>
      <w:marLeft w:val="0"/>
      <w:marRight w:val="0"/>
      <w:marTop w:val="0"/>
      <w:marBottom w:val="0"/>
      <w:divBdr>
        <w:top w:val="none" w:sz="0" w:space="0" w:color="auto"/>
        <w:left w:val="none" w:sz="0" w:space="0" w:color="auto"/>
        <w:bottom w:val="none" w:sz="0" w:space="0" w:color="auto"/>
        <w:right w:val="none" w:sz="0" w:space="0" w:color="auto"/>
      </w:divBdr>
    </w:div>
    <w:div w:id="552888357">
      <w:bodyDiv w:val="1"/>
      <w:marLeft w:val="0"/>
      <w:marRight w:val="0"/>
      <w:marTop w:val="0"/>
      <w:marBottom w:val="0"/>
      <w:divBdr>
        <w:top w:val="none" w:sz="0" w:space="0" w:color="auto"/>
        <w:left w:val="none" w:sz="0" w:space="0" w:color="auto"/>
        <w:bottom w:val="none" w:sz="0" w:space="0" w:color="auto"/>
        <w:right w:val="none" w:sz="0" w:space="0" w:color="auto"/>
      </w:divBdr>
    </w:div>
    <w:div w:id="592980309">
      <w:bodyDiv w:val="1"/>
      <w:marLeft w:val="0"/>
      <w:marRight w:val="0"/>
      <w:marTop w:val="0"/>
      <w:marBottom w:val="0"/>
      <w:divBdr>
        <w:top w:val="none" w:sz="0" w:space="0" w:color="auto"/>
        <w:left w:val="none" w:sz="0" w:space="0" w:color="auto"/>
        <w:bottom w:val="none" w:sz="0" w:space="0" w:color="auto"/>
        <w:right w:val="none" w:sz="0" w:space="0" w:color="auto"/>
      </w:divBdr>
    </w:div>
    <w:div w:id="618609077">
      <w:bodyDiv w:val="1"/>
      <w:marLeft w:val="0"/>
      <w:marRight w:val="0"/>
      <w:marTop w:val="0"/>
      <w:marBottom w:val="0"/>
      <w:divBdr>
        <w:top w:val="none" w:sz="0" w:space="0" w:color="auto"/>
        <w:left w:val="none" w:sz="0" w:space="0" w:color="auto"/>
        <w:bottom w:val="none" w:sz="0" w:space="0" w:color="auto"/>
        <w:right w:val="none" w:sz="0" w:space="0" w:color="auto"/>
      </w:divBdr>
    </w:div>
    <w:div w:id="626663635">
      <w:bodyDiv w:val="1"/>
      <w:marLeft w:val="0"/>
      <w:marRight w:val="0"/>
      <w:marTop w:val="0"/>
      <w:marBottom w:val="0"/>
      <w:divBdr>
        <w:top w:val="none" w:sz="0" w:space="0" w:color="auto"/>
        <w:left w:val="none" w:sz="0" w:space="0" w:color="auto"/>
        <w:bottom w:val="none" w:sz="0" w:space="0" w:color="auto"/>
        <w:right w:val="none" w:sz="0" w:space="0" w:color="auto"/>
      </w:divBdr>
    </w:div>
    <w:div w:id="643705460">
      <w:bodyDiv w:val="1"/>
      <w:marLeft w:val="0"/>
      <w:marRight w:val="0"/>
      <w:marTop w:val="0"/>
      <w:marBottom w:val="0"/>
      <w:divBdr>
        <w:top w:val="none" w:sz="0" w:space="0" w:color="auto"/>
        <w:left w:val="none" w:sz="0" w:space="0" w:color="auto"/>
        <w:bottom w:val="none" w:sz="0" w:space="0" w:color="auto"/>
        <w:right w:val="none" w:sz="0" w:space="0" w:color="auto"/>
      </w:divBdr>
    </w:div>
    <w:div w:id="651328575">
      <w:bodyDiv w:val="1"/>
      <w:marLeft w:val="0"/>
      <w:marRight w:val="0"/>
      <w:marTop w:val="0"/>
      <w:marBottom w:val="0"/>
      <w:divBdr>
        <w:top w:val="none" w:sz="0" w:space="0" w:color="auto"/>
        <w:left w:val="none" w:sz="0" w:space="0" w:color="auto"/>
        <w:bottom w:val="none" w:sz="0" w:space="0" w:color="auto"/>
        <w:right w:val="none" w:sz="0" w:space="0" w:color="auto"/>
      </w:divBdr>
    </w:div>
    <w:div w:id="656689600">
      <w:bodyDiv w:val="1"/>
      <w:marLeft w:val="0"/>
      <w:marRight w:val="0"/>
      <w:marTop w:val="0"/>
      <w:marBottom w:val="0"/>
      <w:divBdr>
        <w:top w:val="none" w:sz="0" w:space="0" w:color="auto"/>
        <w:left w:val="none" w:sz="0" w:space="0" w:color="auto"/>
        <w:bottom w:val="none" w:sz="0" w:space="0" w:color="auto"/>
        <w:right w:val="none" w:sz="0" w:space="0" w:color="auto"/>
      </w:divBdr>
    </w:div>
    <w:div w:id="694427426">
      <w:bodyDiv w:val="1"/>
      <w:marLeft w:val="0"/>
      <w:marRight w:val="0"/>
      <w:marTop w:val="0"/>
      <w:marBottom w:val="0"/>
      <w:divBdr>
        <w:top w:val="none" w:sz="0" w:space="0" w:color="auto"/>
        <w:left w:val="none" w:sz="0" w:space="0" w:color="auto"/>
        <w:bottom w:val="none" w:sz="0" w:space="0" w:color="auto"/>
        <w:right w:val="none" w:sz="0" w:space="0" w:color="auto"/>
      </w:divBdr>
    </w:div>
    <w:div w:id="740323796">
      <w:bodyDiv w:val="1"/>
      <w:marLeft w:val="0"/>
      <w:marRight w:val="0"/>
      <w:marTop w:val="0"/>
      <w:marBottom w:val="0"/>
      <w:divBdr>
        <w:top w:val="none" w:sz="0" w:space="0" w:color="auto"/>
        <w:left w:val="none" w:sz="0" w:space="0" w:color="auto"/>
        <w:bottom w:val="none" w:sz="0" w:space="0" w:color="auto"/>
        <w:right w:val="none" w:sz="0" w:space="0" w:color="auto"/>
      </w:divBdr>
    </w:div>
    <w:div w:id="835220792">
      <w:bodyDiv w:val="1"/>
      <w:marLeft w:val="0"/>
      <w:marRight w:val="0"/>
      <w:marTop w:val="0"/>
      <w:marBottom w:val="0"/>
      <w:divBdr>
        <w:top w:val="none" w:sz="0" w:space="0" w:color="auto"/>
        <w:left w:val="none" w:sz="0" w:space="0" w:color="auto"/>
        <w:bottom w:val="none" w:sz="0" w:space="0" w:color="auto"/>
        <w:right w:val="none" w:sz="0" w:space="0" w:color="auto"/>
      </w:divBdr>
    </w:div>
    <w:div w:id="847713700">
      <w:bodyDiv w:val="1"/>
      <w:marLeft w:val="0"/>
      <w:marRight w:val="0"/>
      <w:marTop w:val="0"/>
      <w:marBottom w:val="0"/>
      <w:divBdr>
        <w:top w:val="none" w:sz="0" w:space="0" w:color="auto"/>
        <w:left w:val="none" w:sz="0" w:space="0" w:color="auto"/>
        <w:bottom w:val="none" w:sz="0" w:space="0" w:color="auto"/>
        <w:right w:val="none" w:sz="0" w:space="0" w:color="auto"/>
      </w:divBdr>
    </w:div>
    <w:div w:id="891311180">
      <w:bodyDiv w:val="1"/>
      <w:marLeft w:val="0"/>
      <w:marRight w:val="0"/>
      <w:marTop w:val="0"/>
      <w:marBottom w:val="0"/>
      <w:divBdr>
        <w:top w:val="none" w:sz="0" w:space="0" w:color="auto"/>
        <w:left w:val="none" w:sz="0" w:space="0" w:color="auto"/>
        <w:bottom w:val="none" w:sz="0" w:space="0" w:color="auto"/>
        <w:right w:val="none" w:sz="0" w:space="0" w:color="auto"/>
      </w:divBdr>
    </w:div>
    <w:div w:id="893194731">
      <w:bodyDiv w:val="1"/>
      <w:marLeft w:val="0"/>
      <w:marRight w:val="0"/>
      <w:marTop w:val="0"/>
      <w:marBottom w:val="0"/>
      <w:divBdr>
        <w:top w:val="none" w:sz="0" w:space="0" w:color="auto"/>
        <w:left w:val="none" w:sz="0" w:space="0" w:color="auto"/>
        <w:bottom w:val="none" w:sz="0" w:space="0" w:color="auto"/>
        <w:right w:val="none" w:sz="0" w:space="0" w:color="auto"/>
      </w:divBdr>
    </w:div>
    <w:div w:id="913274406">
      <w:bodyDiv w:val="1"/>
      <w:marLeft w:val="0"/>
      <w:marRight w:val="0"/>
      <w:marTop w:val="0"/>
      <w:marBottom w:val="0"/>
      <w:divBdr>
        <w:top w:val="none" w:sz="0" w:space="0" w:color="auto"/>
        <w:left w:val="none" w:sz="0" w:space="0" w:color="auto"/>
        <w:bottom w:val="none" w:sz="0" w:space="0" w:color="auto"/>
        <w:right w:val="none" w:sz="0" w:space="0" w:color="auto"/>
      </w:divBdr>
    </w:div>
    <w:div w:id="916481891">
      <w:bodyDiv w:val="1"/>
      <w:marLeft w:val="0"/>
      <w:marRight w:val="0"/>
      <w:marTop w:val="0"/>
      <w:marBottom w:val="0"/>
      <w:divBdr>
        <w:top w:val="none" w:sz="0" w:space="0" w:color="auto"/>
        <w:left w:val="none" w:sz="0" w:space="0" w:color="auto"/>
        <w:bottom w:val="none" w:sz="0" w:space="0" w:color="auto"/>
        <w:right w:val="none" w:sz="0" w:space="0" w:color="auto"/>
      </w:divBdr>
    </w:div>
    <w:div w:id="978538967">
      <w:bodyDiv w:val="1"/>
      <w:marLeft w:val="0"/>
      <w:marRight w:val="0"/>
      <w:marTop w:val="0"/>
      <w:marBottom w:val="0"/>
      <w:divBdr>
        <w:top w:val="none" w:sz="0" w:space="0" w:color="auto"/>
        <w:left w:val="none" w:sz="0" w:space="0" w:color="auto"/>
        <w:bottom w:val="none" w:sz="0" w:space="0" w:color="auto"/>
        <w:right w:val="none" w:sz="0" w:space="0" w:color="auto"/>
      </w:divBdr>
    </w:div>
    <w:div w:id="979067612">
      <w:bodyDiv w:val="1"/>
      <w:marLeft w:val="0"/>
      <w:marRight w:val="0"/>
      <w:marTop w:val="0"/>
      <w:marBottom w:val="0"/>
      <w:divBdr>
        <w:top w:val="none" w:sz="0" w:space="0" w:color="auto"/>
        <w:left w:val="none" w:sz="0" w:space="0" w:color="auto"/>
        <w:bottom w:val="none" w:sz="0" w:space="0" w:color="auto"/>
        <w:right w:val="none" w:sz="0" w:space="0" w:color="auto"/>
      </w:divBdr>
    </w:div>
    <w:div w:id="989747751">
      <w:bodyDiv w:val="1"/>
      <w:marLeft w:val="0"/>
      <w:marRight w:val="0"/>
      <w:marTop w:val="0"/>
      <w:marBottom w:val="0"/>
      <w:divBdr>
        <w:top w:val="none" w:sz="0" w:space="0" w:color="auto"/>
        <w:left w:val="none" w:sz="0" w:space="0" w:color="auto"/>
        <w:bottom w:val="none" w:sz="0" w:space="0" w:color="auto"/>
        <w:right w:val="none" w:sz="0" w:space="0" w:color="auto"/>
      </w:divBdr>
    </w:div>
    <w:div w:id="1006441436">
      <w:bodyDiv w:val="1"/>
      <w:marLeft w:val="0"/>
      <w:marRight w:val="0"/>
      <w:marTop w:val="0"/>
      <w:marBottom w:val="0"/>
      <w:divBdr>
        <w:top w:val="none" w:sz="0" w:space="0" w:color="auto"/>
        <w:left w:val="none" w:sz="0" w:space="0" w:color="auto"/>
        <w:bottom w:val="none" w:sz="0" w:space="0" w:color="auto"/>
        <w:right w:val="none" w:sz="0" w:space="0" w:color="auto"/>
      </w:divBdr>
    </w:div>
    <w:div w:id="1052002128">
      <w:bodyDiv w:val="1"/>
      <w:marLeft w:val="0"/>
      <w:marRight w:val="0"/>
      <w:marTop w:val="0"/>
      <w:marBottom w:val="0"/>
      <w:divBdr>
        <w:top w:val="none" w:sz="0" w:space="0" w:color="auto"/>
        <w:left w:val="none" w:sz="0" w:space="0" w:color="auto"/>
        <w:bottom w:val="none" w:sz="0" w:space="0" w:color="auto"/>
        <w:right w:val="none" w:sz="0" w:space="0" w:color="auto"/>
      </w:divBdr>
    </w:div>
    <w:div w:id="1067071697">
      <w:bodyDiv w:val="1"/>
      <w:marLeft w:val="0"/>
      <w:marRight w:val="0"/>
      <w:marTop w:val="0"/>
      <w:marBottom w:val="0"/>
      <w:divBdr>
        <w:top w:val="none" w:sz="0" w:space="0" w:color="auto"/>
        <w:left w:val="none" w:sz="0" w:space="0" w:color="auto"/>
        <w:bottom w:val="none" w:sz="0" w:space="0" w:color="auto"/>
        <w:right w:val="none" w:sz="0" w:space="0" w:color="auto"/>
      </w:divBdr>
    </w:div>
    <w:div w:id="1100829679">
      <w:bodyDiv w:val="1"/>
      <w:marLeft w:val="0"/>
      <w:marRight w:val="0"/>
      <w:marTop w:val="0"/>
      <w:marBottom w:val="0"/>
      <w:divBdr>
        <w:top w:val="none" w:sz="0" w:space="0" w:color="auto"/>
        <w:left w:val="none" w:sz="0" w:space="0" w:color="auto"/>
        <w:bottom w:val="none" w:sz="0" w:space="0" w:color="auto"/>
        <w:right w:val="none" w:sz="0" w:space="0" w:color="auto"/>
      </w:divBdr>
    </w:div>
    <w:div w:id="1118528200">
      <w:bodyDiv w:val="1"/>
      <w:marLeft w:val="0"/>
      <w:marRight w:val="0"/>
      <w:marTop w:val="0"/>
      <w:marBottom w:val="0"/>
      <w:divBdr>
        <w:top w:val="none" w:sz="0" w:space="0" w:color="auto"/>
        <w:left w:val="none" w:sz="0" w:space="0" w:color="auto"/>
        <w:bottom w:val="none" w:sz="0" w:space="0" w:color="auto"/>
        <w:right w:val="none" w:sz="0" w:space="0" w:color="auto"/>
      </w:divBdr>
    </w:div>
    <w:div w:id="1195650363">
      <w:bodyDiv w:val="1"/>
      <w:marLeft w:val="0"/>
      <w:marRight w:val="0"/>
      <w:marTop w:val="0"/>
      <w:marBottom w:val="0"/>
      <w:divBdr>
        <w:top w:val="none" w:sz="0" w:space="0" w:color="auto"/>
        <w:left w:val="none" w:sz="0" w:space="0" w:color="auto"/>
        <w:bottom w:val="none" w:sz="0" w:space="0" w:color="auto"/>
        <w:right w:val="none" w:sz="0" w:space="0" w:color="auto"/>
      </w:divBdr>
    </w:div>
    <w:div w:id="1233390880">
      <w:bodyDiv w:val="1"/>
      <w:marLeft w:val="0"/>
      <w:marRight w:val="0"/>
      <w:marTop w:val="0"/>
      <w:marBottom w:val="0"/>
      <w:divBdr>
        <w:top w:val="none" w:sz="0" w:space="0" w:color="auto"/>
        <w:left w:val="none" w:sz="0" w:space="0" w:color="auto"/>
        <w:bottom w:val="none" w:sz="0" w:space="0" w:color="auto"/>
        <w:right w:val="none" w:sz="0" w:space="0" w:color="auto"/>
      </w:divBdr>
    </w:div>
    <w:div w:id="1242450040">
      <w:bodyDiv w:val="1"/>
      <w:marLeft w:val="0"/>
      <w:marRight w:val="0"/>
      <w:marTop w:val="0"/>
      <w:marBottom w:val="0"/>
      <w:divBdr>
        <w:top w:val="none" w:sz="0" w:space="0" w:color="auto"/>
        <w:left w:val="none" w:sz="0" w:space="0" w:color="auto"/>
        <w:bottom w:val="none" w:sz="0" w:space="0" w:color="auto"/>
        <w:right w:val="none" w:sz="0" w:space="0" w:color="auto"/>
      </w:divBdr>
    </w:div>
    <w:div w:id="1251549540">
      <w:bodyDiv w:val="1"/>
      <w:marLeft w:val="0"/>
      <w:marRight w:val="0"/>
      <w:marTop w:val="0"/>
      <w:marBottom w:val="0"/>
      <w:divBdr>
        <w:top w:val="none" w:sz="0" w:space="0" w:color="auto"/>
        <w:left w:val="none" w:sz="0" w:space="0" w:color="auto"/>
        <w:bottom w:val="none" w:sz="0" w:space="0" w:color="auto"/>
        <w:right w:val="none" w:sz="0" w:space="0" w:color="auto"/>
      </w:divBdr>
    </w:div>
    <w:div w:id="1253665367">
      <w:bodyDiv w:val="1"/>
      <w:marLeft w:val="0"/>
      <w:marRight w:val="0"/>
      <w:marTop w:val="0"/>
      <w:marBottom w:val="0"/>
      <w:divBdr>
        <w:top w:val="none" w:sz="0" w:space="0" w:color="auto"/>
        <w:left w:val="none" w:sz="0" w:space="0" w:color="auto"/>
        <w:bottom w:val="none" w:sz="0" w:space="0" w:color="auto"/>
        <w:right w:val="none" w:sz="0" w:space="0" w:color="auto"/>
      </w:divBdr>
    </w:div>
    <w:div w:id="1349452659">
      <w:bodyDiv w:val="1"/>
      <w:marLeft w:val="0"/>
      <w:marRight w:val="0"/>
      <w:marTop w:val="0"/>
      <w:marBottom w:val="0"/>
      <w:divBdr>
        <w:top w:val="none" w:sz="0" w:space="0" w:color="auto"/>
        <w:left w:val="none" w:sz="0" w:space="0" w:color="auto"/>
        <w:bottom w:val="none" w:sz="0" w:space="0" w:color="auto"/>
        <w:right w:val="none" w:sz="0" w:space="0" w:color="auto"/>
      </w:divBdr>
    </w:div>
    <w:div w:id="1376155865">
      <w:bodyDiv w:val="1"/>
      <w:marLeft w:val="0"/>
      <w:marRight w:val="0"/>
      <w:marTop w:val="0"/>
      <w:marBottom w:val="0"/>
      <w:divBdr>
        <w:top w:val="none" w:sz="0" w:space="0" w:color="auto"/>
        <w:left w:val="none" w:sz="0" w:space="0" w:color="auto"/>
        <w:bottom w:val="none" w:sz="0" w:space="0" w:color="auto"/>
        <w:right w:val="none" w:sz="0" w:space="0" w:color="auto"/>
      </w:divBdr>
    </w:div>
    <w:div w:id="1469857731">
      <w:bodyDiv w:val="1"/>
      <w:marLeft w:val="0"/>
      <w:marRight w:val="0"/>
      <w:marTop w:val="0"/>
      <w:marBottom w:val="0"/>
      <w:divBdr>
        <w:top w:val="none" w:sz="0" w:space="0" w:color="auto"/>
        <w:left w:val="none" w:sz="0" w:space="0" w:color="auto"/>
        <w:bottom w:val="none" w:sz="0" w:space="0" w:color="auto"/>
        <w:right w:val="none" w:sz="0" w:space="0" w:color="auto"/>
      </w:divBdr>
    </w:div>
    <w:div w:id="1519390829">
      <w:bodyDiv w:val="1"/>
      <w:marLeft w:val="0"/>
      <w:marRight w:val="0"/>
      <w:marTop w:val="0"/>
      <w:marBottom w:val="0"/>
      <w:divBdr>
        <w:top w:val="none" w:sz="0" w:space="0" w:color="auto"/>
        <w:left w:val="none" w:sz="0" w:space="0" w:color="auto"/>
        <w:bottom w:val="none" w:sz="0" w:space="0" w:color="auto"/>
        <w:right w:val="none" w:sz="0" w:space="0" w:color="auto"/>
      </w:divBdr>
    </w:div>
    <w:div w:id="1535535632">
      <w:bodyDiv w:val="1"/>
      <w:marLeft w:val="0"/>
      <w:marRight w:val="0"/>
      <w:marTop w:val="0"/>
      <w:marBottom w:val="0"/>
      <w:divBdr>
        <w:top w:val="none" w:sz="0" w:space="0" w:color="auto"/>
        <w:left w:val="none" w:sz="0" w:space="0" w:color="auto"/>
        <w:bottom w:val="none" w:sz="0" w:space="0" w:color="auto"/>
        <w:right w:val="none" w:sz="0" w:space="0" w:color="auto"/>
      </w:divBdr>
    </w:div>
    <w:div w:id="1551307808">
      <w:bodyDiv w:val="1"/>
      <w:marLeft w:val="0"/>
      <w:marRight w:val="0"/>
      <w:marTop w:val="0"/>
      <w:marBottom w:val="0"/>
      <w:divBdr>
        <w:top w:val="none" w:sz="0" w:space="0" w:color="auto"/>
        <w:left w:val="none" w:sz="0" w:space="0" w:color="auto"/>
        <w:bottom w:val="none" w:sz="0" w:space="0" w:color="auto"/>
        <w:right w:val="none" w:sz="0" w:space="0" w:color="auto"/>
      </w:divBdr>
    </w:div>
    <w:div w:id="1571882844">
      <w:bodyDiv w:val="1"/>
      <w:marLeft w:val="0"/>
      <w:marRight w:val="0"/>
      <w:marTop w:val="0"/>
      <w:marBottom w:val="0"/>
      <w:divBdr>
        <w:top w:val="none" w:sz="0" w:space="0" w:color="auto"/>
        <w:left w:val="none" w:sz="0" w:space="0" w:color="auto"/>
        <w:bottom w:val="none" w:sz="0" w:space="0" w:color="auto"/>
        <w:right w:val="none" w:sz="0" w:space="0" w:color="auto"/>
      </w:divBdr>
    </w:div>
    <w:div w:id="1590889685">
      <w:bodyDiv w:val="1"/>
      <w:marLeft w:val="0"/>
      <w:marRight w:val="0"/>
      <w:marTop w:val="0"/>
      <w:marBottom w:val="0"/>
      <w:divBdr>
        <w:top w:val="none" w:sz="0" w:space="0" w:color="auto"/>
        <w:left w:val="none" w:sz="0" w:space="0" w:color="auto"/>
        <w:bottom w:val="none" w:sz="0" w:space="0" w:color="auto"/>
        <w:right w:val="none" w:sz="0" w:space="0" w:color="auto"/>
      </w:divBdr>
    </w:div>
    <w:div w:id="1595820891">
      <w:bodyDiv w:val="1"/>
      <w:marLeft w:val="0"/>
      <w:marRight w:val="0"/>
      <w:marTop w:val="0"/>
      <w:marBottom w:val="0"/>
      <w:divBdr>
        <w:top w:val="none" w:sz="0" w:space="0" w:color="auto"/>
        <w:left w:val="none" w:sz="0" w:space="0" w:color="auto"/>
        <w:bottom w:val="none" w:sz="0" w:space="0" w:color="auto"/>
        <w:right w:val="none" w:sz="0" w:space="0" w:color="auto"/>
      </w:divBdr>
    </w:div>
    <w:div w:id="1653021653">
      <w:bodyDiv w:val="1"/>
      <w:marLeft w:val="0"/>
      <w:marRight w:val="0"/>
      <w:marTop w:val="0"/>
      <w:marBottom w:val="0"/>
      <w:divBdr>
        <w:top w:val="none" w:sz="0" w:space="0" w:color="auto"/>
        <w:left w:val="none" w:sz="0" w:space="0" w:color="auto"/>
        <w:bottom w:val="none" w:sz="0" w:space="0" w:color="auto"/>
        <w:right w:val="none" w:sz="0" w:space="0" w:color="auto"/>
      </w:divBdr>
    </w:div>
    <w:div w:id="1665359270">
      <w:bodyDiv w:val="1"/>
      <w:marLeft w:val="0"/>
      <w:marRight w:val="0"/>
      <w:marTop w:val="0"/>
      <w:marBottom w:val="0"/>
      <w:divBdr>
        <w:top w:val="none" w:sz="0" w:space="0" w:color="auto"/>
        <w:left w:val="none" w:sz="0" w:space="0" w:color="auto"/>
        <w:bottom w:val="none" w:sz="0" w:space="0" w:color="auto"/>
        <w:right w:val="none" w:sz="0" w:space="0" w:color="auto"/>
      </w:divBdr>
    </w:div>
    <w:div w:id="1678461394">
      <w:bodyDiv w:val="1"/>
      <w:marLeft w:val="0"/>
      <w:marRight w:val="0"/>
      <w:marTop w:val="0"/>
      <w:marBottom w:val="0"/>
      <w:divBdr>
        <w:top w:val="none" w:sz="0" w:space="0" w:color="auto"/>
        <w:left w:val="none" w:sz="0" w:space="0" w:color="auto"/>
        <w:bottom w:val="none" w:sz="0" w:space="0" w:color="auto"/>
        <w:right w:val="none" w:sz="0" w:space="0" w:color="auto"/>
      </w:divBdr>
    </w:div>
    <w:div w:id="1716810396">
      <w:bodyDiv w:val="1"/>
      <w:marLeft w:val="0"/>
      <w:marRight w:val="0"/>
      <w:marTop w:val="0"/>
      <w:marBottom w:val="0"/>
      <w:divBdr>
        <w:top w:val="none" w:sz="0" w:space="0" w:color="auto"/>
        <w:left w:val="none" w:sz="0" w:space="0" w:color="auto"/>
        <w:bottom w:val="none" w:sz="0" w:space="0" w:color="auto"/>
        <w:right w:val="none" w:sz="0" w:space="0" w:color="auto"/>
      </w:divBdr>
    </w:div>
    <w:div w:id="1783838280">
      <w:bodyDiv w:val="1"/>
      <w:marLeft w:val="0"/>
      <w:marRight w:val="0"/>
      <w:marTop w:val="0"/>
      <w:marBottom w:val="0"/>
      <w:divBdr>
        <w:top w:val="none" w:sz="0" w:space="0" w:color="auto"/>
        <w:left w:val="none" w:sz="0" w:space="0" w:color="auto"/>
        <w:bottom w:val="none" w:sz="0" w:space="0" w:color="auto"/>
        <w:right w:val="none" w:sz="0" w:space="0" w:color="auto"/>
      </w:divBdr>
    </w:div>
    <w:div w:id="1810241104">
      <w:bodyDiv w:val="1"/>
      <w:marLeft w:val="0"/>
      <w:marRight w:val="0"/>
      <w:marTop w:val="0"/>
      <w:marBottom w:val="0"/>
      <w:divBdr>
        <w:top w:val="none" w:sz="0" w:space="0" w:color="auto"/>
        <w:left w:val="none" w:sz="0" w:space="0" w:color="auto"/>
        <w:bottom w:val="none" w:sz="0" w:space="0" w:color="auto"/>
        <w:right w:val="none" w:sz="0" w:space="0" w:color="auto"/>
      </w:divBdr>
    </w:div>
    <w:div w:id="1927497515">
      <w:bodyDiv w:val="1"/>
      <w:marLeft w:val="0"/>
      <w:marRight w:val="0"/>
      <w:marTop w:val="0"/>
      <w:marBottom w:val="0"/>
      <w:divBdr>
        <w:top w:val="none" w:sz="0" w:space="0" w:color="auto"/>
        <w:left w:val="none" w:sz="0" w:space="0" w:color="auto"/>
        <w:bottom w:val="none" w:sz="0" w:space="0" w:color="auto"/>
        <w:right w:val="none" w:sz="0" w:space="0" w:color="auto"/>
      </w:divBdr>
    </w:div>
    <w:div w:id="1971933672">
      <w:bodyDiv w:val="1"/>
      <w:marLeft w:val="0"/>
      <w:marRight w:val="0"/>
      <w:marTop w:val="0"/>
      <w:marBottom w:val="0"/>
      <w:divBdr>
        <w:top w:val="none" w:sz="0" w:space="0" w:color="auto"/>
        <w:left w:val="none" w:sz="0" w:space="0" w:color="auto"/>
        <w:bottom w:val="none" w:sz="0" w:space="0" w:color="auto"/>
        <w:right w:val="none" w:sz="0" w:space="0" w:color="auto"/>
      </w:divBdr>
    </w:div>
    <w:div w:id="1977371971">
      <w:bodyDiv w:val="1"/>
      <w:marLeft w:val="0"/>
      <w:marRight w:val="0"/>
      <w:marTop w:val="0"/>
      <w:marBottom w:val="0"/>
      <w:divBdr>
        <w:top w:val="none" w:sz="0" w:space="0" w:color="auto"/>
        <w:left w:val="none" w:sz="0" w:space="0" w:color="auto"/>
        <w:bottom w:val="none" w:sz="0" w:space="0" w:color="auto"/>
        <w:right w:val="none" w:sz="0" w:space="0" w:color="auto"/>
      </w:divBdr>
    </w:div>
    <w:div w:id="1998728873">
      <w:bodyDiv w:val="1"/>
      <w:marLeft w:val="0"/>
      <w:marRight w:val="0"/>
      <w:marTop w:val="0"/>
      <w:marBottom w:val="0"/>
      <w:divBdr>
        <w:top w:val="none" w:sz="0" w:space="0" w:color="auto"/>
        <w:left w:val="none" w:sz="0" w:space="0" w:color="auto"/>
        <w:bottom w:val="none" w:sz="0" w:space="0" w:color="auto"/>
        <w:right w:val="none" w:sz="0" w:space="0" w:color="auto"/>
      </w:divBdr>
    </w:div>
    <w:div w:id="1999189695">
      <w:bodyDiv w:val="1"/>
      <w:marLeft w:val="0"/>
      <w:marRight w:val="0"/>
      <w:marTop w:val="0"/>
      <w:marBottom w:val="0"/>
      <w:divBdr>
        <w:top w:val="none" w:sz="0" w:space="0" w:color="auto"/>
        <w:left w:val="none" w:sz="0" w:space="0" w:color="auto"/>
        <w:bottom w:val="none" w:sz="0" w:space="0" w:color="auto"/>
        <w:right w:val="none" w:sz="0" w:space="0" w:color="auto"/>
      </w:divBdr>
    </w:div>
    <w:div w:id="2012440894">
      <w:bodyDiv w:val="1"/>
      <w:marLeft w:val="0"/>
      <w:marRight w:val="0"/>
      <w:marTop w:val="0"/>
      <w:marBottom w:val="0"/>
      <w:divBdr>
        <w:top w:val="none" w:sz="0" w:space="0" w:color="auto"/>
        <w:left w:val="none" w:sz="0" w:space="0" w:color="auto"/>
        <w:bottom w:val="none" w:sz="0" w:space="0" w:color="auto"/>
        <w:right w:val="none" w:sz="0" w:space="0" w:color="auto"/>
      </w:divBdr>
    </w:div>
    <w:div w:id="2056151109">
      <w:bodyDiv w:val="1"/>
      <w:marLeft w:val="0"/>
      <w:marRight w:val="0"/>
      <w:marTop w:val="0"/>
      <w:marBottom w:val="0"/>
      <w:divBdr>
        <w:top w:val="none" w:sz="0" w:space="0" w:color="auto"/>
        <w:left w:val="none" w:sz="0" w:space="0" w:color="auto"/>
        <w:bottom w:val="none" w:sz="0" w:space="0" w:color="auto"/>
        <w:right w:val="none" w:sz="0" w:space="0" w:color="auto"/>
      </w:divBdr>
    </w:div>
    <w:div w:id="2089964056">
      <w:bodyDiv w:val="1"/>
      <w:marLeft w:val="0"/>
      <w:marRight w:val="0"/>
      <w:marTop w:val="0"/>
      <w:marBottom w:val="0"/>
      <w:divBdr>
        <w:top w:val="none" w:sz="0" w:space="0" w:color="auto"/>
        <w:left w:val="none" w:sz="0" w:space="0" w:color="auto"/>
        <w:bottom w:val="none" w:sz="0" w:space="0" w:color="auto"/>
        <w:right w:val="none" w:sz="0" w:space="0" w:color="auto"/>
      </w:divBdr>
    </w:div>
    <w:div w:id="2109159067">
      <w:bodyDiv w:val="1"/>
      <w:marLeft w:val="0"/>
      <w:marRight w:val="0"/>
      <w:marTop w:val="0"/>
      <w:marBottom w:val="0"/>
      <w:divBdr>
        <w:top w:val="none" w:sz="0" w:space="0" w:color="auto"/>
        <w:left w:val="none" w:sz="0" w:space="0" w:color="auto"/>
        <w:bottom w:val="none" w:sz="0" w:space="0" w:color="auto"/>
        <w:right w:val="none" w:sz="0" w:space="0" w:color="auto"/>
      </w:divBdr>
    </w:div>
    <w:div w:id="2111076799">
      <w:bodyDiv w:val="1"/>
      <w:marLeft w:val="0"/>
      <w:marRight w:val="0"/>
      <w:marTop w:val="0"/>
      <w:marBottom w:val="0"/>
      <w:divBdr>
        <w:top w:val="none" w:sz="0" w:space="0" w:color="auto"/>
        <w:left w:val="none" w:sz="0" w:space="0" w:color="auto"/>
        <w:bottom w:val="none" w:sz="0" w:space="0" w:color="auto"/>
        <w:right w:val="none" w:sz="0" w:space="0" w:color="auto"/>
      </w:divBdr>
    </w:div>
    <w:div w:id="211297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hyperlink" Target="http://www.zzjzdnz.hr" TargetMode="External"/><Relationship Id="rId2" Type="http://schemas.openxmlformats.org/officeDocument/2006/relationships/hyperlink" Target="http://www.zzjzdnz.hr" TargetMode="External"/><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24F92-2695-44D1-A13E-D6A97100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4300</Words>
  <Characters>24514</Characters>
  <Application>Microsoft Office Word</Application>
  <DocSecurity>0</DocSecurity>
  <Lines>204</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Zavod za javno zdravstvo Dubrovačko-neretvanske županije</vt:lpstr>
      <vt:lpstr>Zavod za javno zdravstvo Dubrovačko-neretvanske županije</vt:lpstr>
    </vt:vector>
  </TitlesOfParts>
  <Company>DUBROVNIK</Company>
  <LinksUpToDate>false</LinksUpToDate>
  <CharactersWithSpaces>28757</CharactersWithSpaces>
  <SharedDoc>false</SharedDoc>
  <HLinks>
    <vt:vector size="6" baseType="variant">
      <vt:variant>
        <vt:i4>6422626</vt:i4>
      </vt:variant>
      <vt:variant>
        <vt:i4>3</vt:i4>
      </vt:variant>
      <vt:variant>
        <vt:i4>0</vt:i4>
      </vt:variant>
      <vt:variant>
        <vt:i4>5</vt:i4>
      </vt:variant>
      <vt:variant>
        <vt:lpwstr>http://www.zzjzdnz.hr/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Zavod za javno zdravstvo Dubrovačko-neretvanske županije</dc:title>
  <dc:creator>ZZJZ STATISTIKA</dc:creator>
  <cp:lastModifiedBy>Jele</cp:lastModifiedBy>
  <cp:revision>4</cp:revision>
  <cp:lastPrinted>2026-03-30T08:44:00Z</cp:lastPrinted>
  <dcterms:created xsi:type="dcterms:W3CDTF">2026-07-29T12:53:00Z</dcterms:created>
  <dcterms:modified xsi:type="dcterms:W3CDTF">2026-07-31T09:00:00Z</dcterms:modified>
</cp:coreProperties>
</file>